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wordWrap/>
        <w:spacing w:line="360" w:lineRule="auto"/>
        <w:ind w:firstLine="0" w:firstLineChars="0"/>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drawing>
          <wp:inline distT="0" distB="0" distL="114300" distR="114300">
            <wp:extent cx="1684020" cy="998855"/>
            <wp:effectExtent l="0" t="0" r="11430" b="10795"/>
            <wp:docPr id="1" name="图片 1" descr="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司logo"/>
                    <pic:cNvPicPr>
                      <a:picLocks noChangeAspect="1"/>
                    </pic:cNvPicPr>
                  </pic:nvPicPr>
                  <pic:blipFill>
                    <a:blip r:embed="rId8"/>
                    <a:stretch>
                      <a:fillRect/>
                    </a:stretch>
                  </pic:blipFill>
                  <pic:spPr>
                    <a:xfrm>
                      <a:off x="0" y="0"/>
                      <a:ext cx="1684020" cy="998855"/>
                    </a:xfrm>
                    <a:prstGeom prst="rect">
                      <a:avLst/>
                    </a:prstGeom>
                    <a:noFill/>
                    <a:ln>
                      <a:noFill/>
                    </a:ln>
                  </pic:spPr>
                </pic:pic>
              </a:graphicData>
            </a:graphic>
          </wp:inline>
        </w:drawing>
      </w:r>
    </w:p>
    <w:p>
      <w:pPr>
        <w:tabs>
          <w:tab w:val="left" w:pos="1134"/>
          <w:tab w:val="left" w:pos="5481"/>
          <w:tab w:val="left" w:pos="5859"/>
        </w:tabs>
        <w:wordWrap w:val="0"/>
        <w:spacing w:line="360" w:lineRule="auto"/>
        <w:jc w:val="both"/>
        <w:rPr>
          <w:rFonts w:hint="eastAsia" w:ascii="仿宋" w:hAnsi="仿宋" w:eastAsia="仿宋" w:cs="仿宋"/>
          <w:b/>
          <w:color w:val="auto"/>
          <w:sz w:val="52"/>
          <w:szCs w:val="52"/>
          <w:highlight w:val="none"/>
          <w:lang w:eastAsia="zh-CN"/>
        </w:rPr>
      </w:pPr>
    </w:p>
    <w:p>
      <w:pPr>
        <w:pStyle w:val="18"/>
        <w:wordWrap w:val="0"/>
        <w:spacing w:after="0" w:line="360" w:lineRule="auto"/>
        <w:jc w:val="center"/>
        <w:rPr>
          <w:rFonts w:hint="eastAsia" w:ascii="仿宋" w:hAnsi="仿宋" w:eastAsia="仿宋" w:cs="仿宋"/>
          <w:b/>
          <w:color w:val="auto"/>
          <w:sz w:val="72"/>
          <w:szCs w:val="72"/>
          <w:highlight w:val="none"/>
        </w:rPr>
      </w:pPr>
      <w:r>
        <w:rPr>
          <w:rFonts w:hint="eastAsia" w:ascii="仿宋" w:hAnsi="仿宋" w:eastAsia="仿宋" w:cs="仿宋"/>
          <w:b/>
          <w:color w:val="auto"/>
          <w:sz w:val="44"/>
          <w:szCs w:val="44"/>
          <w:highlight w:val="none"/>
          <w:lang w:val="en-US" w:eastAsia="zh-CN"/>
        </w:rPr>
        <w:t>山东第一医科大学科教融合循环肿瘤细胞准确识别及在食管癌队列早期筛查科研材料采购项目单一来源采购</w:t>
      </w:r>
      <w:r>
        <w:rPr>
          <w:rFonts w:hint="eastAsia" w:ascii="仿宋" w:hAnsi="仿宋" w:eastAsia="仿宋" w:cs="仿宋"/>
          <w:b/>
          <w:color w:val="auto"/>
          <w:sz w:val="44"/>
          <w:szCs w:val="44"/>
          <w:highlight w:val="none"/>
        </w:rPr>
        <w:t>文件</w:t>
      </w:r>
    </w:p>
    <w:p>
      <w:pPr>
        <w:pStyle w:val="3"/>
        <w:wordWrap w:val="0"/>
        <w:spacing w:line="360" w:lineRule="auto"/>
        <w:ind w:left="0" w:leftChars="0" w:firstLine="1084" w:firstLineChars="300"/>
        <w:rPr>
          <w:rFonts w:hint="eastAsia" w:ascii="仿宋" w:hAnsi="仿宋" w:eastAsia="仿宋" w:cs="仿宋"/>
          <w:b/>
          <w:color w:val="auto"/>
          <w:sz w:val="36"/>
          <w:szCs w:val="36"/>
          <w:highlight w:val="none"/>
        </w:rPr>
      </w:pPr>
    </w:p>
    <w:p>
      <w:pPr>
        <w:pStyle w:val="3"/>
        <w:wordWrap w:val="0"/>
        <w:spacing w:line="360" w:lineRule="auto"/>
        <w:ind w:left="0" w:leftChars="0" w:firstLine="1928" w:firstLineChars="600"/>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项 目 编 号：</w:t>
      </w:r>
      <w:r>
        <w:rPr>
          <w:rFonts w:hint="eastAsia" w:ascii="仿宋" w:hAnsi="仿宋" w:eastAsia="仿宋" w:cs="仿宋"/>
          <w:b/>
          <w:color w:val="auto"/>
          <w:sz w:val="32"/>
          <w:szCs w:val="32"/>
          <w:highlight w:val="none"/>
          <w:lang w:eastAsia="zh-CN"/>
        </w:rPr>
        <w:t>SDGP370000000202302009261</w:t>
      </w:r>
    </w:p>
    <w:p>
      <w:pPr>
        <w:pStyle w:val="3"/>
        <w:wordWrap w:val="0"/>
        <w:spacing w:line="360" w:lineRule="auto"/>
        <w:ind w:left="0" w:leftChars="0" w:firstLine="3855" w:firstLineChars="120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eastAsia="zh-CN"/>
        </w:rPr>
        <w:t>/sdhryw2023318</w:t>
      </w:r>
    </w:p>
    <w:p>
      <w:pPr>
        <w:pStyle w:val="18"/>
        <w:wordWrap w:val="0"/>
        <w:spacing w:after="0" w:line="360" w:lineRule="auto"/>
        <w:jc w:val="center"/>
        <w:rPr>
          <w:rFonts w:hint="eastAsia" w:ascii="仿宋" w:hAnsi="仿宋" w:eastAsia="仿宋" w:cs="仿宋"/>
          <w:b/>
          <w:color w:val="auto"/>
          <w:sz w:val="72"/>
          <w:szCs w:val="72"/>
          <w:highlight w:val="none"/>
        </w:rPr>
      </w:pPr>
    </w:p>
    <w:p>
      <w:pPr>
        <w:tabs>
          <w:tab w:val="left" w:pos="1134"/>
          <w:tab w:val="left" w:pos="5481"/>
          <w:tab w:val="left" w:pos="5859"/>
        </w:tabs>
        <w:wordWrap w:val="0"/>
        <w:spacing w:line="360" w:lineRule="auto"/>
        <w:jc w:val="center"/>
        <w:rPr>
          <w:rFonts w:hint="eastAsia" w:ascii="仿宋" w:hAnsi="仿宋" w:eastAsia="仿宋" w:cs="仿宋"/>
          <w:b/>
          <w:color w:val="auto"/>
          <w:sz w:val="32"/>
          <w:highlight w:val="none"/>
        </w:rPr>
      </w:pPr>
    </w:p>
    <w:p>
      <w:pPr>
        <w:tabs>
          <w:tab w:val="left" w:pos="1134"/>
          <w:tab w:val="left" w:pos="5481"/>
          <w:tab w:val="left" w:pos="5859"/>
        </w:tabs>
        <w:wordWrap w:val="0"/>
        <w:spacing w:line="360" w:lineRule="auto"/>
        <w:jc w:val="center"/>
        <w:rPr>
          <w:rFonts w:hint="eastAsia" w:ascii="仿宋" w:hAnsi="仿宋" w:eastAsia="仿宋" w:cs="仿宋"/>
          <w:b/>
          <w:color w:val="auto"/>
          <w:sz w:val="32"/>
          <w:highlight w:val="none"/>
        </w:rPr>
      </w:pPr>
    </w:p>
    <w:p>
      <w:pPr>
        <w:pStyle w:val="3"/>
        <w:wordWrap w:val="0"/>
        <w:spacing w:line="360" w:lineRule="auto"/>
        <w:ind w:left="1747" w:firstLine="0" w:firstLineChars="0"/>
        <w:jc w:val="center"/>
        <w:rPr>
          <w:rFonts w:hint="eastAsia" w:ascii="仿宋" w:hAnsi="仿宋" w:eastAsia="仿宋" w:cs="仿宋"/>
          <w:b/>
          <w:color w:val="auto"/>
          <w:sz w:val="32"/>
          <w:highlight w:val="none"/>
        </w:rPr>
      </w:pPr>
    </w:p>
    <w:p>
      <w:pPr>
        <w:pStyle w:val="3"/>
        <w:wordWrap w:val="0"/>
        <w:spacing w:line="360" w:lineRule="auto"/>
        <w:ind w:left="1747" w:firstLine="0" w:firstLineChars="0"/>
        <w:jc w:val="center"/>
        <w:rPr>
          <w:rFonts w:hint="eastAsia" w:ascii="仿宋" w:hAnsi="仿宋" w:eastAsia="仿宋" w:cs="仿宋"/>
          <w:b/>
          <w:color w:val="auto"/>
          <w:sz w:val="32"/>
          <w:highlight w:val="none"/>
        </w:rPr>
      </w:pPr>
    </w:p>
    <w:p>
      <w:pPr>
        <w:pStyle w:val="18"/>
        <w:wordWrap w:val="0"/>
        <w:spacing w:after="0" w:line="360" w:lineRule="auto"/>
        <w:ind w:firstLine="1084" w:firstLineChars="300"/>
        <w:jc w:val="both"/>
        <w:rPr>
          <w:rFonts w:hint="eastAsia" w:ascii="仿宋" w:hAnsi="仿宋" w:eastAsia="仿宋" w:cs="仿宋"/>
          <w:b/>
          <w:color w:val="auto"/>
          <w:sz w:val="36"/>
          <w:szCs w:val="36"/>
          <w:highlight w:val="none"/>
          <w:lang w:eastAsia="zh-CN"/>
        </w:rPr>
      </w:pPr>
    </w:p>
    <w:p>
      <w:pPr>
        <w:pStyle w:val="18"/>
        <w:wordWrap w:val="0"/>
        <w:spacing w:after="0" w:line="360" w:lineRule="auto"/>
        <w:ind w:firstLine="1084" w:firstLineChars="300"/>
        <w:jc w:val="both"/>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eastAsia="zh-CN"/>
        </w:rPr>
        <w:t>采</w:t>
      </w: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36"/>
          <w:szCs w:val="36"/>
          <w:highlight w:val="none"/>
          <w:lang w:eastAsia="zh-CN"/>
        </w:rPr>
        <w:t>购</w:t>
      </w: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36"/>
          <w:szCs w:val="36"/>
          <w:highlight w:val="none"/>
          <w:lang w:eastAsia="zh-CN"/>
        </w:rPr>
        <w:t>人</w:t>
      </w:r>
      <w:r>
        <w:rPr>
          <w:rFonts w:hint="eastAsia" w:ascii="仿宋" w:hAnsi="仿宋" w:eastAsia="仿宋" w:cs="仿宋"/>
          <w:b/>
          <w:color w:val="auto"/>
          <w:sz w:val="36"/>
          <w:szCs w:val="36"/>
          <w:highlight w:val="none"/>
        </w:rPr>
        <w:t>：</w:t>
      </w:r>
      <w:r>
        <w:rPr>
          <w:rFonts w:hint="eastAsia" w:ascii="仿宋" w:hAnsi="仿宋" w:eastAsia="仿宋" w:cs="仿宋"/>
          <w:b/>
          <w:color w:val="auto"/>
          <w:sz w:val="36"/>
          <w:szCs w:val="36"/>
          <w:highlight w:val="none"/>
          <w:lang w:val="en-US" w:eastAsia="zh-CN"/>
        </w:rPr>
        <w:t>山东第一医科大学</w:t>
      </w:r>
    </w:p>
    <w:p>
      <w:pPr>
        <w:pStyle w:val="18"/>
        <w:wordWrap w:val="0"/>
        <w:spacing w:after="0" w:line="360" w:lineRule="auto"/>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t>采购代理机构</w:t>
      </w:r>
      <w:r>
        <w:rPr>
          <w:rFonts w:hint="eastAsia" w:ascii="仿宋" w:hAnsi="仿宋" w:eastAsia="仿宋" w:cs="仿宋"/>
          <w:b/>
          <w:color w:val="auto"/>
          <w:sz w:val="36"/>
          <w:szCs w:val="36"/>
          <w:highlight w:val="none"/>
        </w:rPr>
        <w:t>：</w:t>
      </w:r>
      <w:r>
        <w:rPr>
          <w:rFonts w:hint="eastAsia" w:ascii="仿宋" w:hAnsi="仿宋" w:eastAsia="仿宋" w:cs="仿宋"/>
          <w:b/>
          <w:color w:val="auto"/>
          <w:sz w:val="36"/>
          <w:szCs w:val="36"/>
          <w:highlight w:val="none"/>
          <w:lang w:eastAsia="zh-CN"/>
        </w:rPr>
        <w:t>山东华仁永旺招标有限公司</w:t>
      </w:r>
    </w:p>
    <w:p>
      <w:pPr>
        <w:tabs>
          <w:tab w:val="left" w:pos="1134"/>
          <w:tab w:val="left" w:pos="5481"/>
          <w:tab w:val="left" w:pos="5859"/>
        </w:tabs>
        <w:wordWrap w:val="0"/>
        <w:spacing w:line="360" w:lineRule="auto"/>
        <w:ind w:firstLine="1084" w:firstLineChars="3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日         期：二○二</w:t>
      </w:r>
      <w:r>
        <w:rPr>
          <w:rFonts w:hint="eastAsia" w:ascii="仿宋" w:hAnsi="仿宋" w:eastAsia="仿宋" w:cs="仿宋"/>
          <w:b/>
          <w:color w:val="auto"/>
          <w:sz w:val="36"/>
          <w:szCs w:val="36"/>
          <w:highlight w:val="none"/>
          <w:lang w:val="en-US" w:eastAsia="zh-CN"/>
        </w:rPr>
        <w:t>三</w:t>
      </w:r>
      <w:r>
        <w:rPr>
          <w:rFonts w:hint="eastAsia" w:ascii="仿宋" w:hAnsi="仿宋" w:eastAsia="仿宋" w:cs="仿宋"/>
          <w:b/>
          <w:color w:val="auto"/>
          <w:sz w:val="36"/>
          <w:szCs w:val="36"/>
          <w:highlight w:val="none"/>
        </w:rPr>
        <w:t>年</w:t>
      </w:r>
      <w:r>
        <w:rPr>
          <w:rFonts w:hint="eastAsia" w:ascii="仿宋" w:hAnsi="仿宋" w:eastAsia="仿宋" w:cs="仿宋"/>
          <w:b/>
          <w:color w:val="auto"/>
          <w:sz w:val="36"/>
          <w:szCs w:val="36"/>
          <w:highlight w:val="none"/>
          <w:lang w:val="en-US" w:eastAsia="zh-CN"/>
        </w:rPr>
        <w:t>十一</w:t>
      </w:r>
      <w:r>
        <w:rPr>
          <w:rFonts w:hint="eastAsia" w:ascii="仿宋" w:hAnsi="仿宋" w:eastAsia="仿宋" w:cs="仿宋"/>
          <w:b/>
          <w:color w:val="auto"/>
          <w:sz w:val="36"/>
          <w:szCs w:val="36"/>
          <w:highlight w:val="none"/>
          <w:lang w:eastAsia="zh-CN"/>
        </w:rPr>
        <w:t>月</w:t>
      </w:r>
    </w:p>
    <w:p>
      <w:pPr>
        <w:pStyle w:val="34"/>
        <w:tabs>
          <w:tab w:val="left" w:pos="2554"/>
          <w:tab w:val="center" w:pos="4595"/>
        </w:tabs>
        <w:spacing w:line="360" w:lineRule="auto"/>
        <w:ind w:firstLine="0" w:firstLineChars="0"/>
        <w:jc w:val="left"/>
        <w:rPr>
          <w:rFonts w:hint="eastAsia" w:ascii="仿宋" w:hAnsi="仿宋" w:eastAsia="仿宋" w:cs="仿宋"/>
          <w:b w:val="0"/>
          <w:sz w:val="36"/>
          <w:highlight w:val="none"/>
        </w:rPr>
      </w:pPr>
      <w:r>
        <w:rPr>
          <w:rFonts w:hint="eastAsia" w:ascii="仿宋" w:hAnsi="仿宋" w:eastAsia="仿宋" w:cs="仿宋"/>
          <w:sz w:val="36"/>
          <w:szCs w:val="36"/>
          <w:highlight w:val="none"/>
        </w:rPr>
        <w:br w:type="page"/>
      </w:r>
      <w:r>
        <w:rPr>
          <w:rFonts w:hint="eastAsia" w:ascii="仿宋" w:hAnsi="仿宋" w:eastAsia="仿宋" w:cs="仿宋"/>
          <w:sz w:val="36"/>
          <w:szCs w:val="36"/>
          <w:highlight w:val="none"/>
        </w:rPr>
        <w:tab/>
      </w:r>
      <w:r>
        <w:rPr>
          <w:rFonts w:hint="eastAsia" w:ascii="仿宋" w:hAnsi="仿宋" w:eastAsia="仿宋" w:cs="仿宋"/>
          <w:sz w:val="36"/>
          <w:szCs w:val="36"/>
          <w:highlight w:val="none"/>
        </w:rPr>
        <w:tab/>
      </w:r>
      <w:r>
        <w:rPr>
          <w:rFonts w:hint="eastAsia" w:ascii="仿宋" w:hAnsi="仿宋" w:eastAsia="仿宋" w:cs="仿宋"/>
          <w:sz w:val="36"/>
          <w:szCs w:val="36"/>
          <w:highlight w:val="none"/>
        </w:rPr>
        <w:tab/>
      </w:r>
      <w:r>
        <w:rPr>
          <w:rFonts w:hint="eastAsia" w:ascii="仿宋" w:hAnsi="仿宋" w:eastAsia="仿宋" w:cs="仿宋"/>
          <w:b w:val="0"/>
          <w:sz w:val="36"/>
          <w:highlight w:val="none"/>
        </w:rPr>
        <w:t>目 录</w:t>
      </w:r>
    </w:p>
    <w:p>
      <w:pPr>
        <w:pStyle w:val="29"/>
        <w:tabs>
          <w:tab w:val="right" w:leader="dot" w:pos="9071"/>
          <w:tab w:val="clear" w:pos="9061"/>
        </w:tabs>
        <w:rPr>
          <w:highlight w:val="none"/>
        </w:rPr>
      </w:pPr>
      <w:r>
        <w:rPr>
          <w:rFonts w:hint="eastAsia" w:ascii="仿宋" w:hAnsi="仿宋" w:eastAsia="仿宋" w:cs="仿宋"/>
          <w:b w:val="0"/>
          <w:highlight w:val="none"/>
        </w:rPr>
        <w:fldChar w:fldCharType="begin"/>
      </w:r>
      <w:r>
        <w:rPr>
          <w:rStyle w:val="50"/>
          <w:rFonts w:hint="eastAsia" w:ascii="仿宋" w:hAnsi="仿宋" w:eastAsia="仿宋" w:cs="仿宋"/>
          <w:b w:val="0"/>
          <w:color w:val="auto"/>
          <w:highlight w:val="none"/>
        </w:rPr>
        <w:instrText xml:space="preserve"> TOC \o "1-3" \h \z \u </w:instrText>
      </w:r>
      <w:r>
        <w:rPr>
          <w:rFonts w:hint="eastAsia" w:ascii="仿宋" w:hAnsi="仿宋" w:eastAsia="仿宋" w:cs="仿宋"/>
          <w:b w:val="0"/>
          <w:highlight w:val="none"/>
        </w:rPr>
        <w:fldChar w:fldCharType="separate"/>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_Toc17087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第一章 投标邀请</w:t>
      </w:r>
      <w:r>
        <w:rPr>
          <w:highlight w:val="none"/>
        </w:rPr>
        <w:tab/>
      </w:r>
      <w:r>
        <w:rPr>
          <w:highlight w:val="none"/>
        </w:rPr>
        <w:fldChar w:fldCharType="begin"/>
      </w:r>
      <w:r>
        <w:rPr>
          <w:highlight w:val="none"/>
        </w:rPr>
        <w:instrText xml:space="preserve"> PAGEREF _Toc17087 \h </w:instrText>
      </w:r>
      <w:r>
        <w:rPr>
          <w:highlight w:val="none"/>
        </w:rPr>
        <w:fldChar w:fldCharType="separate"/>
      </w:r>
      <w:r>
        <w:rPr>
          <w:highlight w:val="none"/>
        </w:rPr>
        <w:t>4</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_Toc6924 </w:instrText>
      </w:r>
      <w:r>
        <w:rPr>
          <w:rFonts w:hint="eastAsia" w:ascii="仿宋" w:hAnsi="仿宋" w:eastAsia="仿宋" w:cs="仿宋"/>
          <w:highlight w:val="none"/>
        </w:rPr>
        <w:fldChar w:fldCharType="separate"/>
      </w:r>
      <w:r>
        <w:rPr>
          <w:rFonts w:hint="eastAsia" w:ascii="仿宋" w:hAnsi="仿宋" w:eastAsia="仿宋" w:cs="仿宋"/>
          <w:szCs w:val="32"/>
          <w:highlight w:val="none"/>
        </w:rPr>
        <w:t xml:space="preserve">第二章 </w:t>
      </w:r>
      <w:r>
        <w:rPr>
          <w:rFonts w:hint="eastAsia" w:ascii="仿宋" w:hAnsi="仿宋" w:eastAsia="仿宋" w:cs="仿宋"/>
          <w:szCs w:val="32"/>
          <w:highlight w:val="none"/>
          <w:lang w:eastAsia="zh-CN"/>
        </w:rPr>
        <w:t>供应商</w:t>
      </w:r>
      <w:r>
        <w:rPr>
          <w:rFonts w:hint="eastAsia" w:ascii="仿宋" w:hAnsi="仿宋" w:eastAsia="仿宋" w:cs="仿宋"/>
          <w:szCs w:val="32"/>
          <w:highlight w:val="none"/>
        </w:rPr>
        <w:t>须知</w:t>
      </w:r>
      <w:r>
        <w:rPr>
          <w:highlight w:val="none"/>
        </w:rPr>
        <w:tab/>
      </w:r>
      <w:r>
        <w:rPr>
          <w:highlight w:val="none"/>
        </w:rPr>
        <w:fldChar w:fldCharType="begin"/>
      </w:r>
      <w:r>
        <w:rPr>
          <w:highlight w:val="none"/>
        </w:rPr>
        <w:instrText xml:space="preserve"> PAGEREF _Toc6924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_Toc23354 </w:instrText>
      </w:r>
      <w:r>
        <w:rPr>
          <w:rFonts w:hint="eastAsia" w:ascii="仿宋" w:hAnsi="仿宋" w:eastAsia="仿宋" w:cs="仿宋"/>
          <w:highlight w:val="none"/>
        </w:rPr>
        <w:fldChar w:fldCharType="separate"/>
      </w:r>
      <w:r>
        <w:rPr>
          <w:rFonts w:hint="eastAsia" w:ascii="仿宋" w:hAnsi="仿宋" w:eastAsia="仿宋" w:cs="仿宋"/>
          <w:highlight w:val="none"/>
        </w:rPr>
        <w:t>一、说明</w:t>
      </w:r>
      <w:r>
        <w:rPr>
          <w:highlight w:val="none"/>
        </w:rPr>
        <w:tab/>
      </w:r>
      <w:r>
        <w:rPr>
          <w:highlight w:val="none"/>
        </w:rPr>
        <w:fldChar w:fldCharType="begin"/>
      </w:r>
      <w:r>
        <w:rPr>
          <w:highlight w:val="none"/>
        </w:rPr>
        <w:instrText xml:space="preserve"> PAGEREF _Toc23354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_Toc3296 </w:instrText>
      </w:r>
      <w:r>
        <w:rPr>
          <w:rFonts w:hint="eastAsia" w:ascii="仿宋" w:hAnsi="仿宋" w:eastAsia="仿宋" w:cs="仿宋"/>
          <w:highlight w:val="none"/>
        </w:rPr>
        <w:fldChar w:fldCharType="separate"/>
      </w:r>
      <w:r>
        <w:rPr>
          <w:rFonts w:hint="eastAsia" w:ascii="仿宋" w:hAnsi="仿宋" w:eastAsia="仿宋" w:cs="仿宋"/>
          <w:bCs/>
          <w:highlight w:val="none"/>
        </w:rPr>
        <w:t>1.</w:t>
      </w:r>
      <w:r>
        <w:rPr>
          <w:rFonts w:hint="eastAsia" w:ascii="仿宋" w:hAnsi="仿宋" w:eastAsia="仿宋" w:cs="仿宋"/>
          <w:bCs/>
          <w:highlight w:val="none"/>
          <w:lang w:eastAsia="zh-CN"/>
        </w:rPr>
        <w:t>采购人</w:t>
      </w:r>
      <w:r>
        <w:rPr>
          <w:rFonts w:hint="eastAsia" w:ascii="仿宋" w:hAnsi="仿宋" w:eastAsia="仿宋" w:cs="仿宋"/>
          <w:bCs/>
          <w:highlight w:val="none"/>
        </w:rPr>
        <w:t>与</w:t>
      </w:r>
      <w:r>
        <w:rPr>
          <w:rFonts w:hint="eastAsia" w:ascii="仿宋" w:hAnsi="仿宋" w:eastAsia="仿宋" w:cs="仿宋"/>
          <w:bCs/>
          <w:highlight w:val="none"/>
          <w:lang w:eastAsia="zh-CN"/>
        </w:rPr>
        <w:t>采购代理机构</w:t>
      </w:r>
      <w:r>
        <w:rPr>
          <w:highlight w:val="none"/>
        </w:rPr>
        <w:tab/>
      </w:r>
      <w:r>
        <w:rPr>
          <w:highlight w:val="none"/>
        </w:rPr>
        <w:fldChar w:fldCharType="begin"/>
      </w:r>
      <w:r>
        <w:rPr>
          <w:highlight w:val="none"/>
        </w:rPr>
        <w:instrText xml:space="preserve"> PAGEREF _Toc3296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_Toc30984 </w:instrText>
      </w:r>
      <w:r>
        <w:rPr>
          <w:rFonts w:hint="eastAsia" w:ascii="仿宋" w:hAnsi="仿宋" w:eastAsia="仿宋" w:cs="仿宋"/>
          <w:highlight w:val="none"/>
        </w:rPr>
        <w:fldChar w:fldCharType="separate"/>
      </w:r>
      <w:r>
        <w:rPr>
          <w:rFonts w:hint="eastAsia" w:ascii="仿宋" w:hAnsi="仿宋" w:eastAsia="仿宋" w:cs="仿宋"/>
          <w:bCs/>
          <w:highlight w:val="none"/>
        </w:rPr>
        <w:t>2.合格</w:t>
      </w:r>
      <w:r>
        <w:rPr>
          <w:rFonts w:hint="eastAsia" w:ascii="仿宋" w:hAnsi="仿宋" w:eastAsia="仿宋" w:cs="仿宋"/>
          <w:bCs/>
          <w:highlight w:val="none"/>
          <w:lang w:eastAsia="zh-CN"/>
        </w:rPr>
        <w:t>供应商</w:t>
      </w:r>
      <w:r>
        <w:rPr>
          <w:highlight w:val="none"/>
        </w:rPr>
        <w:tab/>
      </w:r>
      <w:r>
        <w:rPr>
          <w:highlight w:val="none"/>
        </w:rPr>
        <w:fldChar w:fldCharType="begin"/>
      </w:r>
      <w:r>
        <w:rPr>
          <w:highlight w:val="none"/>
        </w:rPr>
        <w:instrText xml:space="preserve"> PAGEREF _Toc30984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_Toc27190 </w:instrText>
      </w:r>
      <w:r>
        <w:rPr>
          <w:rFonts w:hint="eastAsia" w:ascii="仿宋" w:hAnsi="仿宋" w:eastAsia="仿宋" w:cs="仿宋"/>
          <w:highlight w:val="none"/>
        </w:rPr>
        <w:fldChar w:fldCharType="separate"/>
      </w:r>
      <w:r>
        <w:rPr>
          <w:rFonts w:hint="eastAsia" w:ascii="仿宋" w:hAnsi="仿宋" w:eastAsia="仿宋" w:cs="仿宋"/>
          <w:bCs/>
          <w:highlight w:val="none"/>
        </w:rPr>
        <w:t>3.服务定义</w:t>
      </w:r>
      <w:r>
        <w:rPr>
          <w:highlight w:val="none"/>
        </w:rPr>
        <w:tab/>
      </w:r>
      <w:r>
        <w:rPr>
          <w:highlight w:val="none"/>
        </w:rPr>
        <w:fldChar w:fldCharType="begin"/>
      </w:r>
      <w:r>
        <w:rPr>
          <w:highlight w:val="none"/>
        </w:rPr>
        <w:instrText xml:space="preserve"> PAGEREF _Toc27190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_Toc2800 </w:instrText>
      </w:r>
      <w:r>
        <w:rPr>
          <w:rFonts w:hint="eastAsia" w:ascii="仿宋" w:hAnsi="仿宋" w:eastAsia="仿宋" w:cs="仿宋"/>
          <w:highlight w:val="none"/>
        </w:rPr>
        <w:fldChar w:fldCharType="separate"/>
      </w:r>
      <w:r>
        <w:rPr>
          <w:rFonts w:hint="eastAsia" w:ascii="仿宋" w:hAnsi="仿宋" w:eastAsia="仿宋" w:cs="仿宋"/>
          <w:highlight w:val="none"/>
        </w:rPr>
        <w:t>4.投标费用</w:t>
      </w:r>
      <w:r>
        <w:rPr>
          <w:highlight w:val="none"/>
        </w:rPr>
        <w:tab/>
      </w:r>
      <w:r>
        <w:rPr>
          <w:highlight w:val="none"/>
        </w:rPr>
        <w:fldChar w:fldCharType="begin"/>
      </w:r>
      <w:r>
        <w:rPr>
          <w:highlight w:val="none"/>
        </w:rPr>
        <w:instrText xml:space="preserve"> PAGEREF _Toc2800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_Toc19552 </w:instrText>
      </w:r>
      <w:r>
        <w:rPr>
          <w:rFonts w:hint="eastAsia" w:ascii="仿宋" w:hAnsi="仿宋" w:eastAsia="仿宋" w:cs="仿宋"/>
          <w:highlight w:val="none"/>
        </w:rPr>
        <w:fldChar w:fldCharType="separate"/>
      </w:r>
      <w:r>
        <w:rPr>
          <w:rFonts w:hint="eastAsia" w:ascii="仿宋" w:hAnsi="仿宋" w:eastAsia="仿宋" w:cs="仿宋"/>
          <w:highlight w:val="none"/>
        </w:rPr>
        <w:t>二、</w:t>
      </w:r>
      <w:r>
        <w:rPr>
          <w:rFonts w:hint="eastAsia" w:ascii="仿宋" w:hAnsi="仿宋" w:eastAsia="仿宋" w:cs="仿宋"/>
          <w:highlight w:val="none"/>
          <w:lang w:eastAsia="zh-CN"/>
        </w:rPr>
        <w:t>采购文件</w:t>
      </w:r>
      <w:r>
        <w:rPr>
          <w:highlight w:val="none"/>
        </w:rPr>
        <w:tab/>
      </w:r>
      <w:r>
        <w:rPr>
          <w:highlight w:val="none"/>
        </w:rPr>
        <w:fldChar w:fldCharType="begin"/>
      </w:r>
      <w:r>
        <w:rPr>
          <w:highlight w:val="none"/>
        </w:rPr>
        <w:instrText xml:space="preserve"> PAGEREF _Toc19552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_Toc23521 </w:instrText>
      </w:r>
      <w:r>
        <w:rPr>
          <w:rFonts w:hint="eastAsia" w:ascii="仿宋" w:hAnsi="仿宋" w:eastAsia="仿宋" w:cs="仿宋"/>
          <w:highlight w:val="none"/>
        </w:rPr>
        <w:fldChar w:fldCharType="separate"/>
      </w:r>
      <w:r>
        <w:rPr>
          <w:rFonts w:hint="eastAsia" w:ascii="仿宋" w:hAnsi="仿宋" w:eastAsia="仿宋" w:cs="仿宋"/>
          <w:highlight w:val="none"/>
        </w:rPr>
        <w:t>5.</w:t>
      </w:r>
      <w:r>
        <w:rPr>
          <w:rFonts w:hint="eastAsia" w:ascii="仿宋" w:hAnsi="仿宋" w:eastAsia="仿宋" w:cs="仿宋"/>
          <w:highlight w:val="none"/>
          <w:lang w:eastAsia="zh-CN"/>
        </w:rPr>
        <w:t>采购文件</w:t>
      </w:r>
      <w:r>
        <w:rPr>
          <w:rFonts w:hint="eastAsia" w:ascii="仿宋" w:hAnsi="仿宋" w:eastAsia="仿宋" w:cs="仿宋"/>
          <w:highlight w:val="none"/>
        </w:rPr>
        <w:t>组成</w:t>
      </w:r>
      <w:r>
        <w:rPr>
          <w:highlight w:val="none"/>
        </w:rPr>
        <w:tab/>
      </w:r>
      <w:r>
        <w:rPr>
          <w:highlight w:val="none"/>
        </w:rPr>
        <w:fldChar w:fldCharType="begin"/>
      </w:r>
      <w:r>
        <w:rPr>
          <w:highlight w:val="none"/>
        </w:rPr>
        <w:instrText xml:space="preserve"> PAGEREF _Toc23521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_Toc13790 </w:instrText>
      </w:r>
      <w:r>
        <w:rPr>
          <w:rFonts w:hint="eastAsia" w:ascii="仿宋" w:hAnsi="仿宋" w:eastAsia="仿宋" w:cs="仿宋"/>
          <w:highlight w:val="none"/>
        </w:rPr>
        <w:fldChar w:fldCharType="separate"/>
      </w:r>
      <w:r>
        <w:rPr>
          <w:rFonts w:hint="eastAsia" w:ascii="仿宋" w:hAnsi="仿宋" w:eastAsia="仿宋" w:cs="仿宋"/>
          <w:highlight w:val="none"/>
        </w:rPr>
        <w:t>6.</w:t>
      </w:r>
      <w:r>
        <w:rPr>
          <w:rFonts w:hint="eastAsia" w:ascii="仿宋" w:hAnsi="仿宋" w:eastAsia="仿宋" w:cs="仿宋"/>
          <w:highlight w:val="none"/>
          <w:lang w:eastAsia="zh-CN"/>
        </w:rPr>
        <w:t>采购文件</w:t>
      </w:r>
      <w:r>
        <w:rPr>
          <w:rFonts w:hint="eastAsia" w:ascii="仿宋" w:hAnsi="仿宋" w:eastAsia="仿宋" w:cs="仿宋"/>
          <w:highlight w:val="none"/>
        </w:rPr>
        <w:t>澄清</w:t>
      </w:r>
      <w:r>
        <w:rPr>
          <w:highlight w:val="none"/>
        </w:rPr>
        <w:tab/>
      </w:r>
      <w:r>
        <w:rPr>
          <w:highlight w:val="none"/>
        </w:rPr>
        <w:fldChar w:fldCharType="begin"/>
      </w:r>
      <w:r>
        <w:rPr>
          <w:highlight w:val="none"/>
        </w:rPr>
        <w:instrText xml:space="preserve"> PAGEREF _Toc13790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_Toc17048 </w:instrText>
      </w:r>
      <w:r>
        <w:rPr>
          <w:rFonts w:hint="eastAsia" w:ascii="仿宋" w:hAnsi="仿宋" w:eastAsia="仿宋" w:cs="仿宋"/>
          <w:highlight w:val="none"/>
        </w:rPr>
        <w:fldChar w:fldCharType="separate"/>
      </w:r>
      <w:r>
        <w:rPr>
          <w:rFonts w:hint="eastAsia" w:ascii="仿宋" w:hAnsi="仿宋" w:eastAsia="仿宋" w:cs="仿宋"/>
          <w:highlight w:val="none"/>
        </w:rPr>
        <w:t>7.</w:t>
      </w:r>
      <w:r>
        <w:rPr>
          <w:rFonts w:hint="eastAsia" w:ascii="仿宋" w:hAnsi="仿宋" w:eastAsia="仿宋" w:cs="仿宋"/>
          <w:highlight w:val="none"/>
          <w:lang w:eastAsia="zh-CN"/>
        </w:rPr>
        <w:t>采购文件</w:t>
      </w:r>
      <w:r>
        <w:rPr>
          <w:rFonts w:hint="eastAsia" w:ascii="仿宋" w:hAnsi="仿宋" w:eastAsia="仿宋" w:cs="仿宋"/>
          <w:highlight w:val="none"/>
        </w:rPr>
        <w:t>修改</w:t>
      </w:r>
      <w:r>
        <w:rPr>
          <w:highlight w:val="none"/>
        </w:rPr>
        <w:tab/>
      </w:r>
      <w:r>
        <w:rPr>
          <w:highlight w:val="none"/>
        </w:rPr>
        <w:fldChar w:fldCharType="begin"/>
      </w:r>
      <w:r>
        <w:rPr>
          <w:highlight w:val="none"/>
        </w:rPr>
        <w:instrText xml:space="preserve"> PAGEREF _Toc17048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_Toc28612 </w:instrText>
      </w:r>
      <w:r>
        <w:rPr>
          <w:rFonts w:hint="eastAsia" w:ascii="仿宋" w:hAnsi="仿宋" w:eastAsia="仿宋" w:cs="仿宋"/>
          <w:highlight w:val="none"/>
        </w:rPr>
        <w:fldChar w:fldCharType="separate"/>
      </w:r>
      <w:r>
        <w:rPr>
          <w:rFonts w:hint="eastAsia" w:ascii="仿宋" w:hAnsi="仿宋" w:eastAsia="仿宋" w:cs="仿宋"/>
          <w:highlight w:val="none"/>
        </w:rPr>
        <w:t>三、</w:t>
      </w:r>
      <w:r>
        <w:rPr>
          <w:rFonts w:hint="eastAsia" w:ascii="仿宋" w:hAnsi="仿宋" w:eastAsia="仿宋" w:cs="仿宋"/>
          <w:highlight w:val="none"/>
          <w:lang w:eastAsia="zh-CN"/>
        </w:rPr>
        <w:t>响应文件</w:t>
      </w:r>
      <w:r>
        <w:rPr>
          <w:rFonts w:hint="eastAsia" w:ascii="仿宋" w:hAnsi="仿宋" w:eastAsia="仿宋" w:cs="仿宋"/>
          <w:highlight w:val="none"/>
        </w:rPr>
        <w:t>编写</w:t>
      </w:r>
      <w:r>
        <w:rPr>
          <w:highlight w:val="none"/>
        </w:rPr>
        <w:tab/>
      </w:r>
      <w:r>
        <w:rPr>
          <w:highlight w:val="none"/>
        </w:rPr>
        <w:fldChar w:fldCharType="begin"/>
      </w:r>
      <w:r>
        <w:rPr>
          <w:highlight w:val="none"/>
        </w:rPr>
        <w:instrText xml:space="preserve"> PAGEREF _Toc28612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_Toc17379 </w:instrText>
      </w:r>
      <w:r>
        <w:rPr>
          <w:rFonts w:hint="eastAsia" w:ascii="仿宋" w:hAnsi="仿宋" w:eastAsia="仿宋" w:cs="仿宋"/>
          <w:highlight w:val="none"/>
        </w:rPr>
        <w:fldChar w:fldCharType="separate"/>
      </w:r>
      <w:r>
        <w:rPr>
          <w:rFonts w:hint="eastAsia" w:ascii="仿宋" w:hAnsi="仿宋" w:eastAsia="仿宋" w:cs="仿宋"/>
          <w:highlight w:val="none"/>
        </w:rPr>
        <w:t>8.投标语言及计量单位</w:t>
      </w:r>
      <w:r>
        <w:rPr>
          <w:highlight w:val="none"/>
        </w:rPr>
        <w:tab/>
      </w:r>
      <w:r>
        <w:rPr>
          <w:highlight w:val="none"/>
        </w:rPr>
        <w:fldChar w:fldCharType="begin"/>
      </w:r>
      <w:r>
        <w:rPr>
          <w:highlight w:val="none"/>
        </w:rPr>
        <w:instrText xml:space="preserve"> PAGEREF _Toc17379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_Toc29583 </w:instrText>
      </w:r>
      <w:r>
        <w:rPr>
          <w:rFonts w:hint="eastAsia" w:ascii="仿宋" w:hAnsi="仿宋" w:eastAsia="仿宋" w:cs="仿宋"/>
          <w:highlight w:val="none"/>
        </w:rPr>
        <w:fldChar w:fldCharType="separate"/>
      </w:r>
      <w:r>
        <w:rPr>
          <w:rFonts w:hint="eastAsia" w:ascii="仿宋" w:hAnsi="仿宋" w:eastAsia="仿宋" w:cs="仿宋"/>
          <w:highlight w:val="none"/>
        </w:rPr>
        <w:t>9.</w:t>
      </w:r>
      <w:r>
        <w:rPr>
          <w:rFonts w:hint="eastAsia" w:ascii="仿宋" w:hAnsi="仿宋" w:eastAsia="仿宋" w:cs="仿宋"/>
          <w:highlight w:val="none"/>
          <w:lang w:eastAsia="zh-CN"/>
        </w:rPr>
        <w:t>响应文件</w:t>
      </w:r>
      <w:r>
        <w:rPr>
          <w:rFonts w:hint="eastAsia" w:ascii="仿宋" w:hAnsi="仿宋" w:eastAsia="仿宋" w:cs="仿宋"/>
          <w:highlight w:val="none"/>
        </w:rPr>
        <w:t>组成</w:t>
      </w:r>
      <w:r>
        <w:rPr>
          <w:highlight w:val="none"/>
        </w:rPr>
        <w:tab/>
      </w:r>
      <w:r>
        <w:rPr>
          <w:highlight w:val="none"/>
        </w:rPr>
        <w:fldChar w:fldCharType="begin"/>
      </w:r>
      <w:r>
        <w:rPr>
          <w:highlight w:val="none"/>
        </w:rPr>
        <w:instrText xml:space="preserve"> PAGEREF _Toc29583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_Toc25510 </w:instrText>
      </w:r>
      <w:r>
        <w:rPr>
          <w:rFonts w:hint="eastAsia" w:ascii="仿宋" w:hAnsi="仿宋" w:eastAsia="仿宋" w:cs="仿宋"/>
          <w:highlight w:val="none"/>
        </w:rPr>
        <w:fldChar w:fldCharType="separate"/>
      </w:r>
      <w:r>
        <w:rPr>
          <w:rFonts w:hint="eastAsia" w:ascii="仿宋" w:hAnsi="仿宋" w:eastAsia="仿宋" w:cs="仿宋"/>
          <w:highlight w:val="none"/>
        </w:rPr>
        <w:t>10.</w:t>
      </w:r>
      <w:r>
        <w:rPr>
          <w:rFonts w:hint="eastAsia" w:ascii="仿宋" w:hAnsi="仿宋" w:eastAsia="仿宋" w:cs="仿宋"/>
          <w:highlight w:val="none"/>
          <w:lang w:eastAsia="zh-CN"/>
        </w:rPr>
        <w:t>响应文件</w:t>
      </w:r>
      <w:r>
        <w:rPr>
          <w:rFonts w:hint="eastAsia" w:ascii="仿宋" w:hAnsi="仿宋" w:eastAsia="仿宋" w:cs="仿宋"/>
          <w:highlight w:val="none"/>
        </w:rPr>
        <w:t>装订</w:t>
      </w:r>
      <w:r>
        <w:rPr>
          <w:highlight w:val="none"/>
        </w:rPr>
        <w:tab/>
      </w:r>
      <w:r>
        <w:rPr>
          <w:highlight w:val="none"/>
        </w:rPr>
        <w:fldChar w:fldCharType="begin"/>
      </w:r>
      <w:r>
        <w:rPr>
          <w:highlight w:val="none"/>
        </w:rPr>
        <w:instrText xml:space="preserve"> PAGEREF _Toc25510 \h </w:instrText>
      </w:r>
      <w:r>
        <w:rPr>
          <w:highlight w:val="none"/>
        </w:rPr>
        <w:fldChar w:fldCharType="separate"/>
      </w:r>
      <w:r>
        <w:rPr>
          <w:highlight w:val="none"/>
        </w:rPr>
        <w:t>9</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_Toc19584 </w:instrText>
      </w:r>
      <w:r>
        <w:rPr>
          <w:rFonts w:hint="eastAsia" w:ascii="仿宋" w:hAnsi="仿宋" w:eastAsia="仿宋" w:cs="仿宋"/>
          <w:highlight w:val="none"/>
        </w:rPr>
        <w:fldChar w:fldCharType="separate"/>
      </w:r>
      <w:r>
        <w:rPr>
          <w:rFonts w:hint="eastAsia" w:ascii="仿宋" w:hAnsi="仿宋" w:eastAsia="仿宋" w:cs="仿宋"/>
          <w:highlight w:val="none"/>
        </w:rPr>
        <w:t>11.投标报价</w:t>
      </w:r>
      <w:r>
        <w:rPr>
          <w:highlight w:val="none"/>
        </w:rPr>
        <w:tab/>
      </w:r>
      <w:r>
        <w:rPr>
          <w:highlight w:val="none"/>
        </w:rPr>
        <w:fldChar w:fldCharType="begin"/>
      </w:r>
      <w:r>
        <w:rPr>
          <w:highlight w:val="none"/>
        </w:rPr>
        <w:instrText xml:space="preserve"> PAGEREF _Toc19584 \h </w:instrText>
      </w:r>
      <w:r>
        <w:rPr>
          <w:highlight w:val="none"/>
        </w:rPr>
        <w:fldChar w:fldCharType="separate"/>
      </w:r>
      <w:r>
        <w:rPr>
          <w:highlight w:val="none"/>
        </w:rPr>
        <w:t>9</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_Toc835 </w:instrText>
      </w:r>
      <w:r>
        <w:rPr>
          <w:rFonts w:hint="eastAsia" w:ascii="仿宋" w:hAnsi="仿宋" w:eastAsia="仿宋" w:cs="仿宋"/>
          <w:highlight w:val="none"/>
        </w:rPr>
        <w:fldChar w:fldCharType="separate"/>
      </w:r>
      <w:r>
        <w:rPr>
          <w:rFonts w:hint="eastAsia" w:ascii="仿宋" w:hAnsi="仿宋" w:eastAsia="仿宋" w:cs="仿宋"/>
          <w:highlight w:val="none"/>
        </w:rPr>
        <w:t>12.</w:t>
      </w:r>
      <w:r>
        <w:rPr>
          <w:rFonts w:hint="eastAsia" w:ascii="仿宋" w:hAnsi="仿宋" w:eastAsia="仿宋" w:cs="仿宋"/>
          <w:highlight w:val="none"/>
          <w:lang w:eastAsia="zh-CN"/>
        </w:rPr>
        <w:t>响应文件</w:t>
      </w:r>
      <w:r>
        <w:rPr>
          <w:rFonts w:hint="eastAsia" w:ascii="仿宋" w:hAnsi="仿宋" w:eastAsia="仿宋" w:cs="仿宋"/>
          <w:highlight w:val="none"/>
        </w:rPr>
        <w:t>编写方式</w:t>
      </w:r>
      <w:r>
        <w:rPr>
          <w:highlight w:val="none"/>
        </w:rPr>
        <w:tab/>
      </w:r>
      <w:r>
        <w:rPr>
          <w:highlight w:val="none"/>
        </w:rPr>
        <w:fldChar w:fldCharType="begin"/>
      </w:r>
      <w:r>
        <w:rPr>
          <w:highlight w:val="none"/>
        </w:rPr>
        <w:instrText xml:space="preserve"> PAGEREF _Toc835 \h </w:instrText>
      </w:r>
      <w:r>
        <w:rPr>
          <w:highlight w:val="none"/>
        </w:rPr>
        <w:fldChar w:fldCharType="separate"/>
      </w:r>
      <w:r>
        <w:rPr>
          <w:highlight w:val="none"/>
        </w:rPr>
        <w:t>10</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_Toc29941 </w:instrText>
      </w:r>
      <w:r>
        <w:rPr>
          <w:rFonts w:hint="eastAsia" w:ascii="仿宋" w:hAnsi="仿宋" w:eastAsia="仿宋" w:cs="仿宋"/>
          <w:highlight w:val="none"/>
        </w:rPr>
        <w:fldChar w:fldCharType="separate"/>
      </w:r>
      <w:r>
        <w:rPr>
          <w:rFonts w:hint="eastAsia" w:ascii="仿宋" w:hAnsi="仿宋" w:eastAsia="仿宋" w:cs="仿宋"/>
          <w:highlight w:val="none"/>
        </w:rPr>
        <w:t>13.</w:t>
      </w:r>
      <w:r>
        <w:rPr>
          <w:rFonts w:hint="eastAsia" w:ascii="仿宋" w:hAnsi="仿宋" w:eastAsia="仿宋" w:cs="仿宋"/>
          <w:highlight w:val="none"/>
          <w:lang w:eastAsia="zh-CN"/>
        </w:rPr>
        <w:t>响应文件</w:t>
      </w:r>
      <w:r>
        <w:rPr>
          <w:rFonts w:hint="eastAsia" w:ascii="仿宋" w:hAnsi="仿宋" w:eastAsia="仿宋" w:cs="仿宋"/>
          <w:highlight w:val="none"/>
        </w:rPr>
        <w:t>签署</w:t>
      </w:r>
      <w:r>
        <w:rPr>
          <w:highlight w:val="none"/>
        </w:rPr>
        <w:tab/>
      </w:r>
      <w:r>
        <w:rPr>
          <w:highlight w:val="none"/>
        </w:rPr>
        <w:fldChar w:fldCharType="begin"/>
      </w:r>
      <w:r>
        <w:rPr>
          <w:highlight w:val="none"/>
        </w:rPr>
        <w:instrText xml:space="preserve"> PAGEREF _Toc29941 \h </w:instrText>
      </w:r>
      <w:r>
        <w:rPr>
          <w:highlight w:val="none"/>
        </w:rPr>
        <w:fldChar w:fldCharType="separate"/>
      </w:r>
      <w:r>
        <w:rPr>
          <w:highlight w:val="none"/>
        </w:rPr>
        <w:t>10</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_Toc24606 </w:instrText>
      </w:r>
      <w:r>
        <w:rPr>
          <w:rFonts w:hint="eastAsia" w:ascii="仿宋" w:hAnsi="仿宋" w:eastAsia="仿宋" w:cs="仿宋"/>
          <w:highlight w:val="none"/>
        </w:rPr>
        <w:fldChar w:fldCharType="separate"/>
      </w:r>
      <w:r>
        <w:rPr>
          <w:rFonts w:hint="eastAsia" w:ascii="仿宋" w:hAnsi="仿宋" w:eastAsia="仿宋" w:cs="仿宋"/>
          <w:highlight w:val="none"/>
        </w:rPr>
        <w:t>14.</w:t>
      </w:r>
      <w:r>
        <w:rPr>
          <w:rFonts w:hint="eastAsia" w:ascii="仿宋" w:hAnsi="仿宋" w:eastAsia="仿宋" w:cs="仿宋"/>
          <w:highlight w:val="none"/>
          <w:lang w:eastAsia="zh-CN"/>
        </w:rPr>
        <w:t>响应文件</w:t>
      </w:r>
      <w:r>
        <w:rPr>
          <w:rFonts w:hint="eastAsia" w:ascii="仿宋" w:hAnsi="仿宋" w:eastAsia="仿宋" w:cs="仿宋"/>
          <w:highlight w:val="none"/>
        </w:rPr>
        <w:t>密封和标记</w:t>
      </w:r>
      <w:r>
        <w:rPr>
          <w:highlight w:val="none"/>
        </w:rPr>
        <w:tab/>
      </w:r>
      <w:r>
        <w:rPr>
          <w:highlight w:val="none"/>
        </w:rPr>
        <w:fldChar w:fldCharType="begin"/>
      </w:r>
      <w:r>
        <w:rPr>
          <w:highlight w:val="none"/>
        </w:rPr>
        <w:instrText xml:space="preserve"> PAGEREF _Toc24606 \h </w:instrText>
      </w:r>
      <w:r>
        <w:rPr>
          <w:highlight w:val="none"/>
        </w:rPr>
        <w:fldChar w:fldCharType="separate"/>
      </w:r>
      <w:r>
        <w:rPr>
          <w:highlight w:val="none"/>
        </w:rPr>
        <w:t>10</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_Toc5974 </w:instrText>
      </w:r>
      <w:r>
        <w:rPr>
          <w:rFonts w:hint="eastAsia" w:ascii="仿宋" w:hAnsi="仿宋" w:eastAsia="仿宋" w:cs="仿宋"/>
          <w:highlight w:val="none"/>
        </w:rPr>
        <w:fldChar w:fldCharType="separate"/>
      </w:r>
      <w:r>
        <w:rPr>
          <w:rFonts w:hint="eastAsia" w:ascii="仿宋" w:hAnsi="仿宋" w:eastAsia="仿宋" w:cs="仿宋"/>
          <w:highlight w:val="none"/>
        </w:rPr>
        <w:t>15.投标保证金：</w:t>
      </w:r>
      <w:r>
        <w:rPr>
          <w:highlight w:val="none"/>
        </w:rPr>
        <w:tab/>
      </w:r>
      <w:r>
        <w:rPr>
          <w:highlight w:val="none"/>
        </w:rPr>
        <w:fldChar w:fldCharType="begin"/>
      </w:r>
      <w:r>
        <w:rPr>
          <w:highlight w:val="none"/>
        </w:rPr>
        <w:instrText xml:space="preserve"> PAGEREF _Toc5974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_Toc6985 </w:instrText>
      </w:r>
      <w:r>
        <w:rPr>
          <w:rFonts w:hint="eastAsia" w:ascii="仿宋" w:hAnsi="仿宋" w:eastAsia="仿宋" w:cs="仿宋"/>
          <w:highlight w:val="none"/>
        </w:rPr>
        <w:fldChar w:fldCharType="separate"/>
      </w:r>
      <w:r>
        <w:rPr>
          <w:rFonts w:hint="eastAsia" w:ascii="仿宋" w:hAnsi="仿宋" w:eastAsia="仿宋" w:cs="仿宋"/>
          <w:highlight w:val="none"/>
        </w:rPr>
        <w:t>16.投标有效期</w:t>
      </w:r>
      <w:r>
        <w:rPr>
          <w:highlight w:val="none"/>
        </w:rPr>
        <w:tab/>
      </w:r>
      <w:r>
        <w:rPr>
          <w:highlight w:val="none"/>
        </w:rPr>
        <w:fldChar w:fldCharType="begin"/>
      </w:r>
      <w:r>
        <w:rPr>
          <w:highlight w:val="none"/>
        </w:rPr>
        <w:instrText xml:space="preserve"> PAGEREF _Toc6985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_Toc6026 </w:instrText>
      </w:r>
      <w:r>
        <w:rPr>
          <w:rFonts w:hint="eastAsia" w:ascii="仿宋" w:hAnsi="仿宋" w:eastAsia="仿宋" w:cs="仿宋"/>
          <w:highlight w:val="none"/>
        </w:rPr>
        <w:fldChar w:fldCharType="separate"/>
      </w:r>
      <w:r>
        <w:rPr>
          <w:rFonts w:hint="eastAsia" w:ascii="仿宋" w:hAnsi="仿宋" w:eastAsia="仿宋" w:cs="仿宋"/>
          <w:highlight w:val="none"/>
        </w:rPr>
        <w:t>四、</w:t>
      </w:r>
      <w:r>
        <w:rPr>
          <w:rFonts w:hint="eastAsia" w:ascii="仿宋" w:hAnsi="仿宋" w:eastAsia="仿宋" w:cs="仿宋"/>
          <w:highlight w:val="none"/>
          <w:lang w:eastAsia="zh-CN"/>
        </w:rPr>
        <w:t>响应文件</w:t>
      </w:r>
      <w:r>
        <w:rPr>
          <w:rFonts w:hint="eastAsia" w:ascii="仿宋" w:hAnsi="仿宋" w:eastAsia="仿宋" w:cs="仿宋"/>
          <w:highlight w:val="none"/>
        </w:rPr>
        <w:t>递交</w:t>
      </w:r>
      <w:r>
        <w:rPr>
          <w:highlight w:val="none"/>
        </w:rPr>
        <w:tab/>
      </w:r>
      <w:r>
        <w:rPr>
          <w:highlight w:val="none"/>
        </w:rPr>
        <w:fldChar w:fldCharType="begin"/>
      </w:r>
      <w:r>
        <w:rPr>
          <w:highlight w:val="none"/>
        </w:rPr>
        <w:instrText xml:space="preserve"> PAGEREF _Toc6026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_Toc15272 </w:instrText>
      </w:r>
      <w:r>
        <w:rPr>
          <w:rFonts w:hint="eastAsia" w:ascii="仿宋" w:hAnsi="仿宋" w:eastAsia="仿宋" w:cs="仿宋"/>
          <w:highlight w:val="none"/>
        </w:rPr>
        <w:fldChar w:fldCharType="separate"/>
      </w:r>
      <w:r>
        <w:rPr>
          <w:rFonts w:hint="eastAsia" w:ascii="仿宋" w:hAnsi="仿宋" w:eastAsia="仿宋" w:cs="仿宋"/>
          <w:highlight w:val="none"/>
        </w:rPr>
        <w:t>17.</w:t>
      </w:r>
      <w:r>
        <w:rPr>
          <w:rFonts w:hint="eastAsia" w:ascii="仿宋" w:hAnsi="仿宋" w:eastAsia="仿宋" w:cs="仿宋"/>
          <w:highlight w:val="none"/>
          <w:lang w:eastAsia="zh-CN"/>
        </w:rPr>
        <w:t>响应文件</w:t>
      </w:r>
      <w:r>
        <w:rPr>
          <w:rFonts w:hint="eastAsia" w:ascii="仿宋" w:hAnsi="仿宋" w:eastAsia="仿宋" w:cs="仿宋"/>
          <w:highlight w:val="none"/>
        </w:rPr>
        <w:t>递交时间和地点</w:t>
      </w:r>
      <w:r>
        <w:rPr>
          <w:highlight w:val="none"/>
        </w:rPr>
        <w:tab/>
      </w:r>
      <w:r>
        <w:rPr>
          <w:highlight w:val="none"/>
        </w:rPr>
        <w:fldChar w:fldCharType="begin"/>
      </w:r>
      <w:r>
        <w:rPr>
          <w:highlight w:val="none"/>
        </w:rPr>
        <w:instrText xml:space="preserve"> PAGEREF _Toc15272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_Toc12572 </w:instrText>
      </w:r>
      <w:r>
        <w:rPr>
          <w:rFonts w:hint="eastAsia" w:ascii="仿宋" w:hAnsi="仿宋" w:eastAsia="仿宋" w:cs="仿宋"/>
          <w:highlight w:val="none"/>
        </w:rPr>
        <w:fldChar w:fldCharType="separate"/>
      </w:r>
      <w:r>
        <w:rPr>
          <w:rFonts w:hint="eastAsia" w:ascii="仿宋" w:hAnsi="仿宋" w:eastAsia="仿宋" w:cs="仿宋"/>
          <w:highlight w:val="none"/>
        </w:rPr>
        <w:t>18.</w:t>
      </w:r>
      <w:r>
        <w:rPr>
          <w:rFonts w:hint="eastAsia" w:ascii="仿宋" w:hAnsi="仿宋" w:eastAsia="仿宋" w:cs="仿宋"/>
          <w:highlight w:val="none"/>
          <w:lang w:eastAsia="zh-CN"/>
        </w:rPr>
        <w:t>响应文件</w:t>
      </w:r>
      <w:r>
        <w:rPr>
          <w:rFonts w:hint="eastAsia" w:ascii="仿宋" w:hAnsi="仿宋" w:eastAsia="仿宋" w:cs="仿宋"/>
          <w:highlight w:val="none"/>
        </w:rPr>
        <w:t>签收</w:t>
      </w:r>
      <w:r>
        <w:rPr>
          <w:highlight w:val="none"/>
        </w:rPr>
        <w:tab/>
      </w:r>
      <w:r>
        <w:rPr>
          <w:highlight w:val="none"/>
        </w:rPr>
        <w:fldChar w:fldCharType="begin"/>
      </w:r>
      <w:r>
        <w:rPr>
          <w:highlight w:val="none"/>
        </w:rPr>
        <w:instrText xml:space="preserve"> PAGEREF _Toc12572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_Toc26116 </w:instrText>
      </w:r>
      <w:r>
        <w:rPr>
          <w:rFonts w:hint="eastAsia" w:ascii="仿宋" w:hAnsi="仿宋" w:eastAsia="仿宋" w:cs="仿宋"/>
          <w:highlight w:val="none"/>
        </w:rPr>
        <w:fldChar w:fldCharType="separate"/>
      </w:r>
      <w:r>
        <w:rPr>
          <w:rFonts w:hint="eastAsia" w:ascii="仿宋" w:hAnsi="仿宋" w:eastAsia="仿宋" w:cs="仿宋"/>
          <w:highlight w:val="none"/>
        </w:rPr>
        <w:t>19.</w:t>
      </w:r>
      <w:r>
        <w:rPr>
          <w:rFonts w:hint="eastAsia" w:ascii="仿宋" w:hAnsi="仿宋" w:eastAsia="仿宋" w:cs="仿宋"/>
          <w:highlight w:val="none"/>
          <w:lang w:eastAsia="zh-CN"/>
        </w:rPr>
        <w:t>响应文件</w:t>
      </w:r>
      <w:r>
        <w:rPr>
          <w:rFonts w:hint="eastAsia" w:ascii="仿宋" w:hAnsi="仿宋" w:eastAsia="仿宋" w:cs="仿宋"/>
          <w:highlight w:val="none"/>
        </w:rPr>
        <w:t>修改与撤回</w:t>
      </w:r>
      <w:r>
        <w:rPr>
          <w:highlight w:val="none"/>
        </w:rPr>
        <w:tab/>
      </w:r>
      <w:r>
        <w:rPr>
          <w:highlight w:val="none"/>
        </w:rPr>
        <w:fldChar w:fldCharType="begin"/>
      </w:r>
      <w:r>
        <w:rPr>
          <w:highlight w:val="none"/>
        </w:rPr>
        <w:instrText xml:space="preserve"> PAGEREF _Toc26116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_Toc6002 </w:instrText>
      </w:r>
      <w:r>
        <w:rPr>
          <w:rFonts w:hint="eastAsia" w:ascii="仿宋" w:hAnsi="仿宋" w:eastAsia="仿宋" w:cs="仿宋"/>
          <w:highlight w:val="none"/>
        </w:rPr>
        <w:fldChar w:fldCharType="separate"/>
      </w:r>
      <w:r>
        <w:rPr>
          <w:rFonts w:hint="eastAsia" w:ascii="仿宋" w:hAnsi="仿宋" w:eastAsia="仿宋" w:cs="仿宋"/>
          <w:highlight w:val="none"/>
        </w:rPr>
        <w:t>五、开标与评标</w:t>
      </w:r>
      <w:r>
        <w:rPr>
          <w:highlight w:val="none"/>
        </w:rPr>
        <w:tab/>
      </w:r>
      <w:r>
        <w:rPr>
          <w:highlight w:val="none"/>
        </w:rPr>
        <w:fldChar w:fldCharType="begin"/>
      </w:r>
      <w:r>
        <w:rPr>
          <w:highlight w:val="none"/>
        </w:rPr>
        <w:instrText xml:space="preserve"> PAGEREF _Toc6002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_Toc8935 </w:instrText>
      </w:r>
      <w:r>
        <w:rPr>
          <w:rFonts w:hint="eastAsia" w:ascii="仿宋" w:hAnsi="仿宋" w:eastAsia="仿宋" w:cs="仿宋"/>
          <w:highlight w:val="none"/>
        </w:rPr>
        <w:fldChar w:fldCharType="separate"/>
      </w:r>
      <w:r>
        <w:rPr>
          <w:rFonts w:hint="eastAsia" w:ascii="仿宋" w:hAnsi="仿宋" w:eastAsia="仿宋" w:cs="仿宋"/>
          <w:bCs/>
          <w:highlight w:val="none"/>
        </w:rPr>
        <w:t>20.开标</w:t>
      </w:r>
      <w:r>
        <w:rPr>
          <w:highlight w:val="none"/>
        </w:rPr>
        <w:tab/>
      </w:r>
      <w:r>
        <w:rPr>
          <w:highlight w:val="none"/>
        </w:rPr>
        <w:fldChar w:fldCharType="begin"/>
      </w:r>
      <w:r>
        <w:rPr>
          <w:highlight w:val="none"/>
        </w:rPr>
        <w:instrText xml:space="preserve"> PAGEREF _Toc8935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_Toc12479 </w:instrText>
      </w:r>
      <w:r>
        <w:rPr>
          <w:rFonts w:hint="eastAsia" w:ascii="仿宋" w:hAnsi="仿宋" w:eastAsia="仿宋" w:cs="仿宋"/>
          <w:highlight w:val="none"/>
        </w:rPr>
        <w:fldChar w:fldCharType="separate"/>
      </w:r>
      <w:r>
        <w:rPr>
          <w:rFonts w:hint="eastAsia" w:ascii="仿宋" w:hAnsi="仿宋" w:eastAsia="仿宋" w:cs="仿宋"/>
          <w:bCs/>
          <w:highlight w:val="none"/>
        </w:rPr>
        <w:t>21.谈判小组</w:t>
      </w:r>
      <w:r>
        <w:rPr>
          <w:highlight w:val="none"/>
        </w:rPr>
        <w:tab/>
      </w:r>
      <w:r>
        <w:rPr>
          <w:highlight w:val="none"/>
        </w:rPr>
        <w:fldChar w:fldCharType="begin"/>
      </w:r>
      <w:r>
        <w:rPr>
          <w:highlight w:val="none"/>
        </w:rPr>
        <w:instrText xml:space="preserve"> PAGEREF _Toc12479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_Toc2109 </w:instrText>
      </w:r>
      <w:r>
        <w:rPr>
          <w:rFonts w:hint="eastAsia" w:ascii="仿宋" w:hAnsi="仿宋" w:eastAsia="仿宋" w:cs="仿宋"/>
          <w:highlight w:val="none"/>
        </w:rPr>
        <w:fldChar w:fldCharType="separate"/>
      </w:r>
      <w:r>
        <w:rPr>
          <w:rFonts w:hint="eastAsia" w:ascii="仿宋" w:hAnsi="仿宋" w:eastAsia="仿宋" w:cs="仿宋"/>
          <w:bCs/>
          <w:highlight w:val="none"/>
        </w:rPr>
        <w:t>22.评标原则</w:t>
      </w:r>
      <w:r>
        <w:rPr>
          <w:highlight w:val="none"/>
        </w:rPr>
        <w:tab/>
      </w:r>
      <w:r>
        <w:rPr>
          <w:highlight w:val="none"/>
        </w:rPr>
        <w:fldChar w:fldCharType="begin"/>
      </w:r>
      <w:r>
        <w:rPr>
          <w:highlight w:val="none"/>
        </w:rPr>
        <w:instrText xml:space="preserve"> PAGEREF _Toc2109 \h </w:instrText>
      </w:r>
      <w:r>
        <w:rPr>
          <w:highlight w:val="none"/>
        </w:rPr>
        <w:fldChar w:fldCharType="separate"/>
      </w:r>
      <w:r>
        <w:rPr>
          <w:highlight w:val="none"/>
        </w:rPr>
        <w:t>13</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_Toc2466 </w:instrText>
      </w:r>
      <w:r>
        <w:rPr>
          <w:rFonts w:hint="eastAsia" w:ascii="仿宋" w:hAnsi="仿宋" w:eastAsia="仿宋" w:cs="仿宋"/>
          <w:highlight w:val="none"/>
        </w:rPr>
        <w:fldChar w:fldCharType="separate"/>
      </w:r>
      <w:r>
        <w:rPr>
          <w:rFonts w:hint="eastAsia" w:ascii="仿宋" w:hAnsi="仿宋" w:eastAsia="仿宋" w:cs="仿宋"/>
          <w:bCs/>
          <w:highlight w:val="none"/>
        </w:rPr>
        <w:t>23.评标方法</w:t>
      </w:r>
      <w:r>
        <w:rPr>
          <w:highlight w:val="none"/>
        </w:rPr>
        <w:tab/>
      </w:r>
      <w:r>
        <w:rPr>
          <w:highlight w:val="none"/>
        </w:rPr>
        <w:fldChar w:fldCharType="begin"/>
      </w:r>
      <w:r>
        <w:rPr>
          <w:highlight w:val="none"/>
        </w:rPr>
        <w:instrText xml:space="preserve"> PAGEREF _Toc2466 \h </w:instrText>
      </w:r>
      <w:r>
        <w:rPr>
          <w:highlight w:val="none"/>
        </w:rPr>
        <w:fldChar w:fldCharType="separate"/>
      </w:r>
      <w:r>
        <w:rPr>
          <w:highlight w:val="none"/>
        </w:rPr>
        <w:t>13</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_Toc3335 </w:instrText>
      </w:r>
      <w:r>
        <w:rPr>
          <w:rFonts w:hint="eastAsia" w:ascii="仿宋" w:hAnsi="仿宋" w:eastAsia="仿宋" w:cs="仿宋"/>
          <w:highlight w:val="none"/>
        </w:rPr>
        <w:fldChar w:fldCharType="separate"/>
      </w:r>
      <w:r>
        <w:rPr>
          <w:rFonts w:hint="eastAsia" w:ascii="仿宋" w:hAnsi="仿宋" w:eastAsia="仿宋" w:cs="仿宋"/>
          <w:bCs/>
          <w:highlight w:val="none"/>
        </w:rPr>
        <w:t>24.初步评审</w:t>
      </w:r>
      <w:r>
        <w:rPr>
          <w:highlight w:val="none"/>
        </w:rPr>
        <w:tab/>
      </w:r>
      <w:r>
        <w:rPr>
          <w:highlight w:val="none"/>
        </w:rPr>
        <w:fldChar w:fldCharType="begin"/>
      </w:r>
      <w:r>
        <w:rPr>
          <w:highlight w:val="none"/>
        </w:rPr>
        <w:instrText xml:space="preserve"> PAGEREF _Toc3335 \h </w:instrText>
      </w:r>
      <w:r>
        <w:rPr>
          <w:highlight w:val="none"/>
        </w:rPr>
        <w:fldChar w:fldCharType="separate"/>
      </w:r>
      <w:r>
        <w:rPr>
          <w:highlight w:val="none"/>
        </w:rPr>
        <w:t>13</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_Toc20104 </w:instrText>
      </w:r>
      <w:r>
        <w:rPr>
          <w:rFonts w:hint="eastAsia" w:ascii="仿宋" w:hAnsi="仿宋" w:eastAsia="仿宋" w:cs="仿宋"/>
          <w:highlight w:val="none"/>
        </w:rPr>
        <w:fldChar w:fldCharType="separate"/>
      </w:r>
      <w:r>
        <w:rPr>
          <w:rFonts w:hint="eastAsia" w:ascii="仿宋" w:hAnsi="仿宋" w:eastAsia="仿宋" w:cs="仿宋"/>
          <w:bCs/>
          <w:highlight w:val="none"/>
        </w:rPr>
        <w:t>25.商务及服务谈判</w:t>
      </w:r>
      <w:r>
        <w:rPr>
          <w:highlight w:val="none"/>
        </w:rPr>
        <w:tab/>
      </w:r>
      <w:r>
        <w:rPr>
          <w:highlight w:val="none"/>
        </w:rPr>
        <w:fldChar w:fldCharType="begin"/>
      </w:r>
      <w:r>
        <w:rPr>
          <w:highlight w:val="none"/>
        </w:rPr>
        <w:instrText xml:space="preserve"> PAGEREF _Toc20104 \h </w:instrText>
      </w:r>
      <w:r>
        <w:rPr>
          <w:highlight w:val="none"/>
        </w:rPr>
        <w:fldChar w:fldCharType="separate"/>
      </w:r>
      <w:r>
        <w:rPr>
          <w:highlight w:val="none"/>
        </w:rPr>
        <w:t>14</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_Toc16297 </w:instrText>
      </w:r>
      <w:r>
        <w:rPr>
          <w:rFonts w:hint="eastAsia" w:ascii="仿宋" w:hAnsi="仿宋" w:eastAsia="仿宋" w:cs="仿宋"/>
          <w:highlight w:val="none"/>
        </w:rPr>
        <w:fldChar w:fldCharType="separate"/>
      </w:r>
      <w:r>
        <w:rPr>
          <w:rFonts w:hint="eastAsia" w:ascii="仿宋" w:hAnsi="仿宋" w:eastAsia="仿宋" w:cs="仿宋"/>
          <w:bCs/>
          <w:highlight w:val="none"/>
        </w:rPr>
        <w:t>26.特殊情况下的评标方法</w:t>
      </w:r>
      <w:r>
        <w:rPr>
          <w:highlight w:val="none"/>
        </w:rPr>
        <w:tab/>
      </w:r>
      <w:r>
        <w:rPr>
          <w:highlight w:val="none"/>
        </w:rPr>
        <w:fldChar w:fldCharType="begin"/>
      </w:r>
      <w:r>
        <w:rPr>
          <w:highlight w:val="none"/>
        </w:rPr>
        <w:instrText xml:space="preserve"> PAGEREF _Toc16297 \h </w:instrText>
      </w:r>
      <w:r>
        <w:rPr>
          <w:highlight w:val="none"/>
        </w:rPr>
        <w:fldChar w:fldCharType="separate"/>
      </w:r>
      <w:r>
        <w:rPr>
          <w:highlight w:val="none"/>
        </w:rPr>
        <w:t>14</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_Toc16712 </w:instrText>
      </w:r>
      <w:r>
        <w:rPr>
          <w:rFonts w:hint="eastAsia" w:ascii="仿宋" w:hAnsi="仿宋" w:eastAsia="仿宋" w:cs="仿宋"/>
          <w:highlight w:val="none"/>
        </w:rPr>
        <w:fldChar w:fldCharType="separate"/>
      </w:r>
      <w:r>
        <w:rPr>
          <w:rFonts w:hint="eastAsia" w:ascii="仿宋" w:hAnsi="仿宋" w:eastAsia="仿宋" w:cs="仿宋"/>
          <w:bCs/>
          <w:highlight w:val="none"/>
        </w:rPr>
        <w:t>27.处罚</w:t>
      </w:r>
      <w:r>
        <w:rPr>
          <w:highlight w:val="none"/>
        </w:rPr>
        <w:tab/>
      </w:r>
      <w:r>
        <w:rPr>
          <w:highlight w:val="none"/>
        </w:rPr>
        <w:fldChar w:fldCharType="begin"/>
      </w:r>
      <w:r>
        <w:rPr>
          <w:highlight w:val="none"/>
        </w:rPr>
        <w:instrText xml:space="preserve"> PAGEREF _Toc16712 \h </w:instrText>
      </w:r>
      <w:r>
        <w:rPr>
          <w:highlight w:val="none"/>
        </w:rPr>
        <w:fldChar w:fldCharType="separate"/>
      </w:r>
      <w:r>
        <w:rPr>
          <w:highlight w:val="none"/>
        </w:rPr>
        <w:t>14</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_Toc7061 </w:instrText>
      </w:r>
      <w:r>
        <w:rPr>
          <w:rFonts w:hint="eastAsia" w:ascii="仿宋" w:hAnsi="仿宋" w:eastAsia="仿宋" w:cs="仿宋"/>
          <w:highlight w:val="none"/>
        </w:rPr>
        <w:fldChar w:fldCharType="separate"/>
      </w:r>
      <w:r>
        <w:rPr>
          <w:rFonts w:hint="eastAsia" w:ascii="仿宋" w:hAnsi="仿宋" w:eastAsia="仿宋" w:cs="仿宋"/>
          <w:highlight w:val="none"/>
        </w:rPr>
        <w:t>六、签订合同</w:t>
      </w:r>
      <w:r>
        <w:rPr>
          <w:highlight w:val="none"/>
        </w:rPr>
        <w:tab/>
      </w:r>
      <w:r>
        <w:rPr>
          <w:highlight w:val="none"/>
        </w:rPr>
        <w:fldChar w:fldCharType="begin"/>
      </w:r>
      <w:r>
        <w:rPr>
          <w:highlight w:val="none"/>
        </w:rPr>
        <w:instrText xml:space="preserve"> PAGEREF _Toc7061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_Toc5278 </w:instrText>
      </w:r>
      <w:r>
        <w:rPr>
          <w:rFonts w:hint="eastAsia" w:ascii="仿宋" w:hAnsi="仿宋" w:eastAsia="仿宋" w:cs="仿宋"/>
          <w:highlight w:val="none"/>
        </w:rPr>
        <w:fldChar w:fldCharType="separate"/>
      </w:r>
      <w:r>
        <w:rPr>
          <w:rFonts w:hint="eastAsia" w:ascii="仿宋" w:hAnsi="仿宋" w:eastAsia="仿宋" w:cs="仿宋"/>
          <w:bCs/>
          <w:highlight w:val="none"/>
        </w:rPr>
        <w:t>28.接受和拒绝任何或所有投标的权力</w:t>
      </w:r>
      <w:r>
        <w:rPr>
          <w:highlight w:val="none"/>
        </w:rPr>
        <w:tab/>
      </w:r>
      <w:r>
        <w:rPr>
          <w:highlight w:val="none"/>
        </w:rPr>
        <w:fldChar w:fldCharType="begin"/>
      </w:r>
      <w:r>
        <w:rPr>
          <w:highlight w:val="none"/>
        </w:rPr>
        <w:instrText xml:space="preserve"> PAGEREF _Toc5278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_Toc24930 </w:instrText>
      </w:r>
      <w:r>
        <w:rPr>
          <w:rFonts w:hint="eastAsia" w:ascii="仿宋" w:hAnsi="仿宋" w:eastAsia="仿宋" w:cs="仿宋"/>
          <w:highlight w:val="none"/>
        </w:rPr>
        <w:fldChar w:fldCharType="separate"/>
      </w:r>
      <w:r>
        <w:rPr>
          <w:rFonts w:hint="eastAsia" w:ascii="仿宋" w:hAnsi="仿宋" w:eastAsia="仿宋" w:cs="仿宋"/>
          <w:bCs/>
          <w:highlight w:val="none"/>
        </w:rPr>
        <w:t>29.成交通知书</w:t>
      </w:r>
      <w:r>
        <w:rPr>
          <w:highlight w:val="none"/>
        </w:rPr>
        <w:tab/>
      </w:r>
      <w:r>
        <w:rPr>
          <w:highlight w:val="none"/>
        </w:rPr>
        <w:fldChar w:fldCharType="begin"/>
      </w:r>
      <w:r>
        <w:rPr>
          <w:highlight w:val="none"/>
        </w:rPr>
        <w:instrText xml:space="preserve"> PAGEREF _Toc24930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_Toc9319 </w:instrText>
      </w:r>
      <w:r>
        <w:rPr>
          <w:rFonts w:hint="eastAsia" w:ascii="仿宋" w:hAnsi="仿宋" w:eastAsia="仿宋" w:cs="仿宋"/>
          <w:highlight w:val="none"/>
        </w:rPr>
        <w:fldChar w:fldCharType="separate"/>
      </w:r>
      <w:r>
        <w:rPr>
          <w:rFonts w:hint="eastAsia" w:ascii="仿宋" w:hAnsi="仿宋" w:eastAsia="仿宋" w:cs="仿宋"/>
          <w:bCs/>
          <w:highlight w:val="none"/>
        </w:rPr>
        <w:t>30.签订合同</w:t>
      </w:r>
      <w:r>
        <w:rPr>
          <w:highlight w:val="none"/>
        </w:rPr>
        <w:tab/>
      </w:r>
      <w:r>
        <w:rPr>
          <w:highlight w:val="none"/>
        </w:rPr>
        <w:fldChar w:fldCharType="begin"/>
      </w:r>
      <w:r>
        <w:rPr>
          <w:highlight w:val="none"/>
        </w:rPr>
        <w:instrText xml:space="preserve"> PAGEREF _Toc9319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_Toc11412 </w:instrText>
      </w:r>
      <w:r>
        <w:rPr>
          <w:rFonts w:hint="eastAsia" w:ascii="仿宋" w:hAnsi="仿宋" w:eastAsia="仿宋" w:cs="仿宋"/>
          <w:highlight w:val="none"/>
        </w:rPr>
        <w:fldChar w:fldCharType="separate"/>
      </w:r>
      <w:r>
        <w:rPr>
          <w:rFonts w:hint="eastAsia" w:ascii="仿宋" w:hAnsi="仿宋" w:eastAsia="仿宋" w:cs="仿宋"/>
          <w:bCs/>
          <w:highlight w:val="none"/>
        </w:rPr>
        <w:t>31.履约保证金：</w:t>
      </w:r>
      <w:r>
        <w:rPr>
          <w:highlight w:val="none"/>
        </w:rPr>
        <w:tab/>
      </w:r>
      <w:r>
        <w:rPr>
          <w:highlight w:val="none"/>
        </w:rPr>
        <w:fldChar w:fldCharType="begin"/>
      </w:r>
      <w:r>
        <w:rPr>
          <w:highlight w:val="none"/>
        </w:rPr>
        <w:instrText xml:space="preserve"> PAGEREF _Toc11412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_Toc30925 </w:instrText>
      </w:r>
      <w:r>
        <w:rPr>
          <w:rFonts w:hint="eastAsia" w:ascii="仿宋" w:hAnsi="仿宋" w:eastAsia="仿宋" w:cs="仿宋"/>
          <w:highlight w:val="none"/>
        </w:rPr>
        <w:fldChar w:fldCharType="separate"/>
      </w:r>
      <w:r>
        <w:rPr>
          <w:rFonts w:hint="eastAsia" w:ascii="仿宋" w:hAnsi="仿宋" w:eastAsia="仿宋" w:cs="仿宋"/>
          <w:highlight w:val="none"/>
        </w:rPr>
        <w:t>七、成交服务费与见证费</w:t>
      </w:r>
      <w:r>
        <w:rPr>
          <w:highlight w:val="none"/>
        </w:rPr>
        <w:tab/>
      </w:r>
      <w:r>
        <w:rPr>
          <w:highlight w:val="none"/>
        </w:rPr>
        <w:fldChar w:fldCharType="begin"/>
      </w:r>
      <w:r>
        <w:rPr>
          <w:highlight w:val="none"/>
        </w:rPr>
        <w:instrText xml:space="preserve"> PAGEREF _Toc30925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_Toc7320 </w:instrText>
      </w:r>
      <w:r>
        <w:rPr>
          <w:rFonts w:hint="eastAsia" w:ascii="仿宋" w:hAnsi="仿宋" w:eastAsia="仿宋" w:cs="仿宋"/>
          <w:highlight w:val="none"/>
        </w:rPr>
        <w:fldChar w:fldCharType="separate"/>
      </w:r>
      <w:r>
        <w:rPr>
          <w:rFonts w:hint="eastAsia" w:ascii="仿宋" w:hAnsi="仿宋" w:eastAsia="仿宋" w:cs="仿宋"/>
          <w:bCs/>
          <w:highlight w:val="none"/>
        </w:rPr>
        <w:t>32.成交服务费</w:t>
      </w:r>
      <w:r>
        <w:rPr>
          <w:highlight w:val="none"/>
        </w:rPr>
        <w:tab/>
      </w:r>
      <w:r>
        <w:rPr>
          <w:highlight w:val="none"/>
        </w:rPr>
        <w:fldChar w:fldCharType="begin"/>
      </w:r>
      <w:r>
        <w:rPr>
          <w:highlight w:val="none"/>
        </w:rPr>
        <w:instrText xml:space="preserve"> PAGEREF _Toc7320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_Toc13250 </w:instrText>
      </w:r>
      <w:r>
        <w:rPr>
          <w:rFonts w:hint="eastAsia" w:ascii="仿宋" w:hAnsi="仿宋" w:eastAsia="仿宋" w:cs="仿宋"/>
          <w:highlight w:val="none"/>
        </w:rPr>
        <w:fldChar w:fldCharType="separate"/>
      </w:r>
      <w:r>
        <w:rPr>
          <w:rFonts w:hint="eastAsia" w:ascii="仿宋" w:hAnsi="仿宋" w:eastAsia="仿宋" w:cs="仿宋"/>
          <w:bCs/>
          <w:highlight w:val="none"/>
        </w:rPr>
        <w:t>33.见证费</w:t>
      </w:r>
      <w:r>
        <w:rPr>
          <w:highlight w:val="none"/>
        </w:rPr>
        <w:tab/>
      </w:r>
      <w:r>
        <w:rPr>
          <w:highlight w:val="none"/>
        </w:rPr>
        <w:fldChar w:fldCharType="begin"/>
      </w:r>
      <w:r>
        <w:rPr>
          <w:highlight w:val="none"/>
        </w:rPr>
        <w:instrText xml:space="preserve"> PAGEREF _Toc13250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_Toc21197 </w:instrText>
      </w:r>
      <w:r>
        <w:rPr>
          <w:rFonts w:hint="eastAsia" w:ascii="仿宋" w:hAnsi="仿宋" w:eastAsia="仿宋" w:cs="仿宋"/>
          <w:highlight w:val="none"/>
        </w:rPr>
        <w:fldChar w:fldCharType="separate"/>
      </w:r>
      <w:r>
        <w:rPr>
          <w:rFonts w:hint="eastAsia" w:ascii="仿宋" w:hAnsi="仿宋" w:eastAsia="仿宋" w:cs="仿宋"/>
          <w:highlight w:val="none"/>
        </w:rPr>
        <w:t>八、处罚、质疑</w:t>
      </w:r>
      <w:r>
        <w:rPr>
          <w:highlight w:val="none"/>
        </w:rPr>
        <w:tab/>
      </w:r>
      <w:r>
        <w:rPr>
          <w:highlight w:val="none"/>
        </w:rPr>
        <w:fldChar w:fldCharType="begin"/>
      </w:r>
      <w:r>
        <w:rPr>
          <w:highlight w:val="none"/>
        </w:rPr>
        <w:instrText xml:space="preserve"> PAGEREF _Toc21197 \h </w:instrText>
      </w:r>
      <w:r>
        <w:rPr>
          <w:highlight w:val="none"/>
        </w:rPr>
        <w:fldChar w:fldCharType="separate"/>
      </w:r>
      <w:r>
        <w:rPr>
          <w:highlight w:val="none"/>
        </w:rPr>
        <w:t>16</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_Toc17285 </w:instrText>
      </w:r>
      <w:r>
        <w:rPr>
          <w:rFonts w:hint="eastAsia" w:ascii="仿宋" w:hAnsi="仿宋" w:eastAsia="仿宋" w:cs="仿宋"/>
          <w:highlight w:val="none"/>
        </w:rPr>
        <w:fldChar w:fldCharType="separate"/>
      </w:r>
      <w:r>
        <w:rPr>
          <w:rFonts w:hint="eastAsia" w:ascii="仿宋" w:hAnsi="仿宋" w:eastAsia="仿宋" w:cs="仿宋"/>
          <w:bCs/>
          <w:highlight w:val="none"/>
        </w:rPr>
        <w:t>34.处罚</w:t>
      </w:r>
      <w:r>
        <w:rPr>
          <w:highlight w:val="none"/>
        </w:rPr>
        <w:tab/>
      </w:r>
      <w:r>
        <w:rPr>
          <w:highlight w:val="none"/>
        </w:rPr>
        <w:fldChar w:fldCharType="begin"/>
      </w:r>
      <w:r>
        <w:rPr>
          <w:highlight w:val="none"/>
        </w:rPr>
        <w:instrText xml:space="preserve"> PAGEREF _Toc17285 \h </w:instrText>
      </w:r>
      <w:r>
        <w:rPr>
          <w:highlight w:val="none"/>
        </w:rPr>
        <w:fldChar w:fldCharType="separate"/>
      </w:r>
      <w:r>
        <w:rPr>
          <w:highlight w:val="none"/>
        </w:rPr>
        <w:t>16</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_Toc21892 </w:instrText>
      </w:r>
      <w:r>
        <w:rPr>
          <w:rFonts w:hint="eastAsia" w:ascii="仿宋" w:hAnsi="仿宋" w:eastAsia="仿宋" w:cs="仿宋"/>
          <w:highlight w:val="none"/>
        </w:rPr>
        <w:fldChar w:fldCharType="separate"/>
      </w:r>
      <w:r>
        <w:rPr>
          <w:rFonts w:hint="eastAsia" w:ascii="仿宋" w:hAnsi="仿宋" w:eastAsia="仿宋" w:cs="仿宋"/>
          <w:bCs/>
          <w:highlight w:val="none"/>
        </w:rPr>
        <w:t>24.质疑</w:t>
      </w:r>
      <w:r>
        <w:rPr>
          <w:highlight w:val="none"/>
        </w:rPr>
        <w:tab/>
      </w:r>
      <w:r>
        <w:rPr>
          <w:highlight w:val="none"/>
        </w:rPr>
        <w:fldChar w:fldCharType="begin"/>
      </w:r>
      <w:r>
        <w:rPr>
          <w:highlight w:val="none"/>
        </w:rPr>
        <w:instrText xml:space="preserve"> PAGEREF _Toc21892 \h </w:instrText>
      </w:r>
      <w:r>
        <w:rPr>
          <w:highlight w:val="none"/>
        </w:rPr>
        <w:fldChar w:fldCharType="separate"/>
      </w:r>
      <w:r>
        <w:rPr>
          <w:highlight w:val="none"/>
        </w:rPr>
        <w:t>16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_Toc18940 </w:instrText>
      </w:r>
      <w:r>
        <w:rPr>
          <w:rFonts w:hint="eastAsia" w:ascii="仿宋" w:hAnsi="仿宋" w:eastAsia="仿宋" w:cs="仿宋"/>
          <w:highlight w:val="none"/>
        </w:rPr>
        <w:fldChar w:fldCharType="separate"/>
      </w:r>
      <w:r>
        <w:rPr>
          <w:rFonts w:hint="eastAsia" w:ascii="仿宋" w:hAnsi="仿宋" w:eastAsia="仿宋" w:cs="仿宋"/>
          <w:highlight w:val="none"/>
        </w:rPr>
        <w:t>九、保密和披露</w:t>
      </w:r>
      <w:r>
        <w:rPr>
          <w:highlight w:val="none"/>
        </w:rPr>
        <w:tab/>
      </w:r>
      <w:r>
        <w:rPr>
          <w:highlight w:val="none"/>
        </w:rPr>
        <w:fldChar w:fldCharType="begin"/>
      </w:r>
      <w:r>
        <w:rPr>
          <w:highlight w:val="none"/>
        </w:rPr>
        <w:instrText xml:space="preserve"> PAGEREF _Toc18940 \h </w:instrText>
      </w:r>
      <w:r>
        <w:rPr>
          <w:highlight w:val="none"/>
        </w:rPr>
        <w:fldChar w:fldCharType="separate"/>
      </w:r>
      <w:r>
        <w:rPr>
          <w:highlight w:val="none"/>
        </w:rPr>
        <w:t>17</w:t>
      </w:r>
      <w:r>
        <w:rPr>
          <w:highlight w:val="none"/>
        </w:rPr>
        <w:fldChar w:fldCharType="end"/>
      </w:r>
      <w:r>
        <w:rPr>
          <w:rFonts w:hint="eastAsia" w:ascii="仿宋" w:hAnsi="仿宋" w:eastAsia="仿宋" w:cs="仿宋"/>
          <w:highlight w:val="none"/>
        </w:rPr>
        <w:fldChar w:fldCharType="end"/>
      </w:r>
    </w:p>
    <w:p>
      <w:pPr>
        <w:pStyle w:val="21"/>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_Toc10342 </w:instrText>
      </w:r>
      <w:r>
        <w:rPr>
          <w:rFonts w:hint="eastAsia" w:ascii="仿宋" w:hAnsi="仿宋" w:eastAsia="仿宋" w:cs="仿宋"/>
          <w:highlight w:val="none"/>
        </w:rPr>
        <w:fldChar w:fldCharType="separate"/>
      </w:r>
      <w:r>
        <w:rPr>
          <w:rFonts w:hint="eastAsia" w:ascii="仿宋" w:hAnsi="仿宋" w:eastAsia="仿宋" w:cs="仿宋"/>
          <w:bCs/>
          <w:highlight w:val="none"/>
        </w:rPr>
        <w:t>25.保密和披露</w:t>
      </w:r>
      <w:r>
        <w:rPr>
          <w:highlight w:val="none"/>
        </w:rPr>
        <w:tab/>
      </w:r>
      <w:r>
        <w:rPr>
          <w:highlight w:val="none"/>
        </w:rPr>
        <w:fldChar w:fldCharType="begin"/>
      </w:r>
      <w:r>
        <w:rPr>
          <w:highlight w:val="none"/>
        </w:rPr>
        <w:instrText xml:space="preserve"> PAGEREF _Toc10342 \h </w:instrText>
      </w:r>
      <w:r>
        <w:rPr>
          <w:highlight w:val="none"/>
        </w:rPr>
        <w:fldChar w:fldCharType="separate"/>
      </w:r>
      <w:r>
        <w:rPr>
          <w:highlight w:val="none"/>
        </w:rPr>
        <w:t>17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_Toc26662 </w:instrText>
      </w:r>
      <w:r>
        <w:rPr>
          <w:rFonts w:hint="eastAsia" w:ascii="仿宋" w:hAnsi="仿宋" w:eastAsia="仿宋" w:cs="仿宋"/>
          <w:highlight w:val="none"/>
        </w:rPr>
        <w:fldChar w:fldCharType="separate"/>
      </w:r>
      <w:r>
        <w:rPr>
          <w:rFonts w:hint="eastAsia" w:ascii="仿宋" w:hAnsi="仿宋" w:eastAsia="仿宋" w:cs="仿宋"/>
          <w:highlight w:val="none"/>
        </w:rPr>
        <w:t>十、</w:t>
      </w:r>
      <w:r>
        <w:rPr>
          <w:rFonts w:hint="eastAsia" w:ascii="仿宋" w:hAnsi="仿宋" w:eastAsia="仿宋" w:cs="仿宋"/>
          <w:bCs/>
          <w:kern w:val="0"/>
          <w:szCs w:val="28"/>
          <w:highlight w:val="none"/>
        </w:rPr>
        <w:t>采购政策</w:t>
      </w:r>
      <w:r>
        <w:rPr>
          <w:highlight w:val="none"/>
        </w:rPr>
        <w:tab/>
      </w:r>
      <w:r>
        <w:rPr>
          <w:highlight w:val="none"/>
        </w:rPr>
        <w:fldChar w:fldCharType="begin"/>
      </w:r>
      <w:r>
        <w:rPr>
          <w:highlight w:val="none"/>
        </w:rPr>
        <w:instrText xml:space="preserve"> PAGEREF _Toc26662 \h </w:instrText>
      </w:r>
      <w:r>
        <w:rPr>
          <w:highlight w:val="none"/>
        </w:rPr>
        <w:fldChar w:fldCharType="separate"/>
      </w:r>
      <w:r>
        <w:rPr>
          <w:highlight w:val="none"/>
        </w:rPr>
        <w:t>17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_Toc11422 </w:instrText>
      </w:r>
      <w:r>
        <w:rPr>
          <w:rFonts w:hint="eastAsia" w:ascii="仿宋" w:hAnsi="仿宋" w:eastAsia="仿宋" w:cs="仿宋"/>
          <w:highlight w:val="none"/>
        </w:rPr>
        <w:fldChar w:fldCharType="separate"/>
      </w:r>
      <w:r>
        <w:rPr>
          <w:rFonts w:hint="eastAsia" w:ascii="仿宋" w:hAnsi="仿宋" w:eastAsia="仿宋" w:cs="仿宋"/>
          <w:highlight w:val="none"/>
        </w:rPr>
        <w:t>十一、解释权</w:t>
      </w:r>
      <w:r>
        <w:rPr>
          <w:highlight w:val="none"/>
        </w:rPr>
        <w:tab/>
      </w:r>
      <w:r>
        <w:rPr>
          <w:highlight w:val="none"/>
        </w:rPr>
        <w:fldChar w:fldCharType="begin"/>
      </w:r>
      <w:r>
        <w:rPr>
          <w:highlight w:val="none"/>
        </w:rPr>
        <w:instrText xml:space="preserve"> PAGEREF _Toc11422 \h </w:instrText>
      </w:r>
      <w:r>
        <w:rPr>
          <w:highlight w:val="none"/>
        </w:rPr>
        <w:fldChar w:fldCharType="separate"/>
      </w:r>
      <w:r>
        <w:rPr>
          <w:highlight w:val="none"/>
        </w:rPr>
        <w:t>19</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_Toc22013 </w:instrText>
      </w:r>
      <w:r>
        <w:rPr>
          <w:rFonts w:hint="eastAsia" w:ascii="仿宋" w:hAnsi="仿宋" w:eastAsia="仿宋" w:cs="仿宋"/>
          <w:highlight w:val="none"/>
        </w:rPr>
        <w:fldChar w:fldCharType="separate"/>
      </w:r>
      <w:r>
        <w:rPr>
          <w:rFonts w:hint="eastAsia" w:ascii="仿宋" w:hAnsi="仿宋" w:eastAsia="仿宋" w:cs="仿宋"/>
          <w:szCs w:val="32"/>
          <w:highlight w:val="none"/>
          <w:lang w:eastAsia="zh-CN"/>
        </w:rPr>
        <w:t>第三章</w:t>
      </w:r>
      <w:r>
        <w:rPr>
          <w:rFonts w:hint="eastAsia" w:ascii="仿宋" w:hAnsi="仿宋" w:eastAsia="仿宋" w:cs="仿宋"/>
          <w:szCs w:val="32"/>
          <w:highlight w:val="none"/>
          <w:lang w:val="en-US" w:eastAsia="zh-CN"/>
        </w:rPr>
        <w:t xml:space="preserve"> </w:t>
      </w:r>
      <w:r>
        <w:rPr>
          <w:rFonts w:hint="eastAsia" w:ascii="仿宋" w:hAnsi="仿宋" w:eastAsia="仿宋" w:cs="仿宋"/>
          <w:szCs w:val="32"/>
          <w:highlight w:val="none"/>
        </w:rPr>
        <w:t>项目说明</w:t>
      </w:r>
      <w:r>
        <w:rPr>
          <w:highlight w:val="none"/>
        </w:rPr>
        <w:tab/>
      </w:r>
      <w:r>
        <w:rPr>
          <w:highlight w:val="none"/>
        </w:rPr>
        <w:fldChar w:fldCharType="begin"/>
      </w:r>
      <w:r>
        <w:rPr>
          <w:highlight w:val="none"/>
        </w:rPr>
        <w:instrText xml:space="preserve"> PAGEREF _Toc22013 \h </w:instrText>
      </w:r>
      <w:r>
        <w:rPr>
          <w:highlight w:val="none"/>
        </w:rPr>
        <w:fldChar w:fldCharType="separate"/>
      </w:r>
      <w:r>
        <w:rPr>
          <w:highlight w:val="none"/>
        </w:rPr>
        <w:t>20</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_Toc12214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第四章 合同条款</w:t>
      </w:r>
      <w:r>
        <w:rPr>
          <w:highlight w:val="none"/>
        </w:rPr>
        <w:tab/>
      </w:r>
      <w:r>
        <w:rPr>
          <w:highlight w:val="none"/>
        </w:rPr>
        <w:fldChar w:fldCharType="begin"/>
      </w:r>
      <w:r>
        <w:rPr>
          <w:highlight w:val="none"/>
        </w:rPr>
        <w:instrText xml:space="preserve"> PAGEREF _Toc12214 \h </w:instrText>
      </w:r>
      <w:r>
        <w:rPr>
          <w:highlight w:val="none"/>
        </w:rPr>
        <w:fldChar w:fldCharType="separate"/>
      </w:r>
      <w:r>
        <w:rPr>
          <w:highlight w:val="none"/>
        </w:rPr>
        <w:t>24</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_Toc12922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第五章 合同参考格式</w:t>
      </w:r>
      <w:r>
        <w:rPr>
          <w:highlight w:val="none"/>
        </w:rPr>
        <w:tab/>
      </w:r>
      <w:r>
        <w:rPr>
          <w:highlight w:val="none"/>
        </w:rPr>
        <w:fldChar w:fldCharType="begin"/>
      </w:r>
      <w:r>
        <w:rPr>
          <w:highlight w:val="none"/>
        </w:rPr>
        <w:instrText xml:space="preserve"> PAGEREF _Toc12922 \h </w:instrText>
      </w:r>
      <w:r>
        <w:rPr>
          <w:highlight w:val="none"/>
        </w:rPr>
        <w:fldChar w:fldCharType="separate"/>
      </w:r>
      <w:r>
        <w:rPr>
          <w:highlight w:val="none"/>
        </w:rPr>
        <w:t>30</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_Toc1552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第六章 附件</w:t>
      </w:r>
      <w:r>
        <w:rPr>
          <w:highlight w:val="none"/>
        </w:rPr>
        <w:tab/>
      </w:r>
      <w:r>
        <w:rPr>
          <w:highlight w:val="none"/>
        </w:rPr>
        <w:fldChar w:fldCharType="begin"/>
      </w:r>
      <w:r>
        <w:rPr>
          <w:highlight w:val="none"/>
        </w:rPr>
        <w:instrText xml:space="preserve"> PAGEREF _Toc1552 \h </w:instrText>
      </w:r>
      <w:r>
        <w:rPr>
          <w:highlight w:val="none"/>
        </w:rPr>
        <w:fldChar w:fldCharType="separate"/>
      </w:r>
      <w:r>
        <w:rPr>
          <w:highlight w:val="none"/>
        </w:rPr>
        <w:t>35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_Toc5272 </w:instrText>
      </w:r>
      <w:r>
        <w:rPr>
          <w:rFonts w:hint="eastAsia" w:ascii="仿宋" w:hAnsi="仿宋" w:eastAsia="仿宋" w:cs="仿宋"/>
          <w:highlight w:val="none"/>
        </w:rPr>
        <w:fldChar w:fldCharType="separate"/>
      </w:r>
      <w:r>
        <w:rPr>
          <w:rFonts w:hint="eastAsia" w:ascii="仿宋" w:hAnsi="仿宋" w:eastAsia="仿宋" w:cs="仿宋"/>
          <w:highlight w:val="none"/>
        </w:rPr>
        <w:t>附件一</w:t>
      </w:r>
      <w:r>
        <w:rPr>
          <w:highlight w:val="none"/>
        </w:rPr>
        <w:tab/>
      </w:r>
      <w:r>
        <w:rPr>
          <w:highlight w:val="none"/>
        </w:rPr>
        <w:fldChar w:fldCharType="begin"/>
      </w:r>
      <w:r>
        <w:rPr>
          <w:highlight w:val="none"/>
        </w:rPr>
        <w:instrText xml:space="preserve"> PAGEREF _Toc5272 \h </w:instrText>
      </w:r>
      <w:r>
        <w:rPr>
          <w:highlight w:val="none"/>
        </w:rPr>
        <w:fldChar w:fldCharType="separate"/>
      </w:r>
      <w:r>
        <w:rPr>
          <w:highlight w:val="none"/>
        </w:rPr>
        <w:t>35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_Toc13912 </w:instrText>
      </w:r>
      <w:r>
        <w:rPr>
          <w:rFonts w:hint="eastAsia" w:ascii="仿宋" w:hAnsi="仿宋" w:eastAsia="仿宋" w:cs="仿宋"/>
          <w:highlight w:val="none"/>
        </w:rPr>
        <w:fldChar w:fldCharType="separate"/>
      </w:r>
      <w:r>
        <w:rPr>
          <w:rFonts w:hint="eastAsia" w:ascii="仿宋" w:hAnsi="仿宋" w:eastAsia="仿宋" w:cs="仿宋"/>
          <w:highlight w:val="none"/>
        </w:rPr>
        <w:t>附件二</w:t>
      </w:r>
      <w:r>
        <w:rPr>
          <w:highlight w:val="none"/>
        </w:rPr>
        <w:tab/>
      </w:r>
      <w:r>
        <w:rPr>
          <w:highlight w:val="none"/>
        </w:rPr>
        <w:fldChar w:fldCharType="begin"/>
      </w:r>
      <w:r>
        <w:rPr>
          <w:highlight w:val="none"/>
        </w:rPr>
        <w:instrText xml:space="preserve"> PAGEREF _Toc13912 \h </w:instrText>
      </w:r>
      <w:r>
        <w:rPr>
          <w:highlight w:val="none"/>
        </w:rPr>
        <w:fldChar w:fldCharType="separate"/>
      </w:r>
      <w:r>
        <w:rPr>
          <w:highlight w:val="none"/>
        </w:rPr>
        <w:t>36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_Toc28035 </w:instrText>
      </w:r>
      <w:r>
        <w:rPr>
          <w:rFonts w:hint="eastAsia" w:ascii="仿宋" w:hAnsi="仿宋" w:eastAsia="仿宋" w:cs="仿宋"/>
          <w:highlight w:val="none"/>
        </w:rPr>
        <w:fldChar w:fldCharType="separate"/>
      </w:r>
      <w:r>
        <w:rPr>
          <w:rFonts w:hint="eastAsia" w:ascii="仿宋" w:hAnsi="仿宋" w:eastAsia="仿宋" w:cs="仿宋"/>
          <w:highlight w:val="none"/>
        </w:rPr>
        <w:t>附件三</w:t>
      </w:r>
      <w:r>
        <w:rPr>
          <w:highlight w:val="none"/>
        </w:rPr>
        <w:tab/>
      </w:r>
      <w:r>
        <w:rPr>
          <w:highlight w:val="none"/>
        </w:rPr>
        <w:fldChar w:fldCharType="begin"/>
      </w:r>
      <w:r>
        <w:rPr>
          <w:highlight w:val="none"/>
        </w:rPr>
        <w:instrText xml:space="preserve"> PAGEREF _Toc28035 \h </w:instrText>
      </w:r>
      <w:r>
        <w:rPr>
          <w:highlight w:val="none"/>
        </w:rPr>
        <w:fldChar w:fldCharType="separate"/>
      </w:r>
      <w:r>
        <w:rPr>
          <w:highlight w:val="none"/>
        </w:rPr>
        <w:t>38</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_Toc9578 </w:instrText>
      </w:r>
      <w:r>
        <w:rPr>
          <w:rFonts w:hint="eastAsia" w:ascii="仿宋" w:hAnsi="仿宋" w:eastAsia="仿宋" w:cs="仿宋"/>
          <w:highlight w:val="none"/>
        </w:rPr>
        <w:fldChar w:fldCharType="separate"/>
      </w:r>
      <w:r>
        <w:rPr>
          <w:rFonts w:hint="eastAsia" w:ascii="仿宋" w:hAnsi="仿宋" w:eastAsia="仿宋" w:cs="仿宋"/>
          <w:highlight w:val="none"/>
        </w:rPr>
        <w:t>附件四</w:t>
      </w:r>
      <w:r>
        <w:rPr>
          <w:highlight w:val="none"/>
        </w:rPr>
        <w:tab/>
      </w:r>
      <w:r>
        <w:rPr>
          <w:highlight w:val="none"/>
        </w:rPr>
        <w:fldChar w:fldCharType="begin"/>
      </w:r>
      <w:r>
        <w:rPr>
          <w:highlight w:val="none"/>
        </w:rPr>
        <w:instrText xml:space="preserve"> PAGEREF _Toc9578 \h </w:instrText>
      </w:r>
      <w:r>
        <w:rPr>
          <w:highlight w:val="none"/>
        </w:rPr>
        <w:fldChar w:fldCharType="separate"/>
      </w:r>
      <w:r>
        <w:rPr>
          <w:highlight w:val="none"/>
        </w:rPr>
        <w:t>39</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_Toc3434 </w:instrText>
      </w:r>
      <w:r>
        <w:rPr>
          <w:rFonts w:hint="eastAsia" w:ascii="仿宋" w:hAnsi="仿宋" w:eastAsia="仿宋" w:cs="仿宋"/>
          <w:highlight w:val="none"/>
        </w:rPr>
        <w:fldChar w:fldCharType="separate"/>
      </w:r>
      <w:r>
        <w:rPr>
          <w:rFonts w:hint="eastAsia" w:ascii="仿宋" w:hAnsi="仿宋" w:eastAsia="仿宋" w:cs="仿宋"/>
          <w:highlight w:val="none"/>
        </w:rPr>
        <w:t>附件五</w:t>
      </w:r>
      <w:r>
        <w:rPr>
          <w:highlight w:val="none"/>
        </w:rPr>
        <w:tab/>
      </w:r>
      <w:r>
        <w:rPr>
          <w:highlight w:val="none"/>
        </w:rPr>
        <w:fldChar w:fldCharType="begin"/>
      </w:r>
      <w:r>
        <w:rPr>
          <w:highlight w:val="none"/>
        </w:rPr>
        <w:instrText xml:space="preserve"> PAGEREF _Toc3434 \h </w:instrText>
      </w:r>
      <w:r>
        <w:rPr>
          <w:highlight w:val="none"/>
        </w:rPr>
        <w:fldChar w:fldCharType="separate"/>
      </w:r>
      <w:r>
        <w:rPr>
          <w:highlight w:val="none"/>
        </w:rPr>
        <w:t>40</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_Toc28286 </w:instrText>
      </w:r>
      <w:r>
        <w:rPr>
          <w:rFonts w:hint="eastAsia" w:ascii="仿宋" w:hAnsi="仿宋" w:eastAsia="仿宋" w:cs="仿宋"/>
          <w:highlight w:val="none"/>
        </w:rPr>
        <w:fldChar w:fldCharType="separate"/>
      </w:r>
      <w:r>
        <w:rPr>
          <w:rFonts w:hint="eastAsia" w:ascii="仿宋" w:hAnsi="仿宋" w:eastAsia="仿宋" w:cs="仿宋"/>
          <w:highlight w:val="none"/>
        </w:rPr>
        <w:t>附件六</w:t>
      </w:r>
      <w:r>
        <w:rPr>
          <w:highlight w:val="none"/>
        </w:rPr>
        <w:tab/>
      </w:r>
      <w:r>
        <w:rPr>
          <w:highlight w:val="none"/>
        </w:rPr>
        <w:fldChar w:fldCharType="begin"/>
      </w:r>
      <w:r>
        <w:rPr>
          <w:highlight w:val="none"/>
        </w:rPr>
        <w:instrText xml:space="preserve"> PAGEREF _Toc28286 \h </w:instrText>
      </w:r>
      <w:r>
        <w:rPr>
          <w:highlight w:val="none"/>
        </w:rPr>
        <w:fldChar w:fldCharType="separate"/>
      </w:r>
      <w:r>
        <w:rPr>
          <w:highlight w:val="none"/>
        </w:rPr>
        <w:t>41</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_Toc26488 </w:instrText>
      </w:r>
      <w:r>
        <w:rPr>
          <w:rFonts w:hint="eastAsia" w:ascii="仿宋" w:hAnsi="仿宋" w:eastAsia="仿宋" w:cs="仿宋"/>
          <w:highlight w:val="none"/>
        </w:rPr>
        <w:fldChar w:fldCharType="separate"/>
      </w:r>
      <w:r>
        <w:rPr>
          <w:rFonts w:hint="eastAsia" w:ascii="仿宋" w:hAnsi="仿宋" w:eastAsia="仿宋" w:cs="仿宋"/>
          <w:highlight w:val="none"/>
        </w:rPr>
        <w:t>附件</w:t>
      </w:r>
      <w:r>
        <w:rPr>
          <w:rFonts w:hint="eastAsia" w:ascii="仿宋" w:hAnsi="仿宋" w:eastAsia="仿宋" w:cs="仿宋"/>
          <w:highlight w:val="none"/>
          <w:lang w:val="en-US" w:eastAsia="zh-CN"/>
        </w:rPr>
        <w:t>七</w:t>
      </w:r>
      <w:r>
        <w:rPr>
          <w:highlight w:val="none"/>
        </w:rPr>
        <w:tab/>
      </w:r>
      <w:r>
        <w:rPr>
          <w:highlight w:val="none"/>
        </w:rPr>
        <w:fldChar w:fldCharType="begin"/>
      </w:r>
      <w:r>
        <w:rPr>
          <w:highlight w:val="none"/>
        </w:rPr>
        <w:instrText xml:space="preserve"> PAGEREF _Toc26488 \h </w:instrText>
      </w:r>
      <w:r>
        <w:rPr>
          <w:highlight w:val="none"/>
        </w:rPr>
        <w:fldChar w:fldCharType="separate"/>
      </w:r>
      <w:r>
        <w:rPr>
          <w:highlight w:val="none"/>
        </w:rPr>
        <w:t>42</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_Toc12695 </w:instrText>
      </w:r>
      <w:r>
        <w:rPr>
          <w:rFonts w:hint="eastAsia" w:ascii="仿宋" w:hAnsi="仿宋" w:eastAsia="仿宋" w:cs="仿宋"/>
          <w:highlight w:val="none"/>
        </w:rPr>
        <w:fldChar w:fldCharType="separate"/>
      </w:r>
      <w:r>
        <w:rPr>
          <w:rFonts w:hint="eastAsia" w:ascii="仿宋" w:hAnsi="仿宋" w:eastAsia="仿宋" w:cs="仿宋"/>
          <w:highlight w:val="none"/>
        </w:rPr>
        <w:t>附件</w:t>
      </w:r>
      <w:r>
        <w:rPr>
          <w:rFonts w:hint="eastAsia" w:ascii="仿宋" w:hAnsi="仿宋" w:eastAsia="仿宋" w:cs="仿宋"/>
          <w:highlight w:val="none"/>
          <w:lang w:val="en-US" w:eastAsia="zh-CN"/>
        </w:rPr>
        <w:t>八</w:t>
      </w:r>
      <w:r>
        <w:rPr>
          <w:highlight w:val="none"/>
        </w:rPr>
        <w:tab/>
      </w:r>
      <w:r>
        <w:rPr>
          <w:highlight w:val="none"/>
        </w:rPr>
        <w:fldChar w:fldCharType="begin"/>
      </w:r>
      <w:r>
        <w:rPr>
          <w:highlight w:val="none"/>
        </w:rPr>
        <w:instrText xml:space="preserve"> PAGEREF _Toc12695 \h </w:instrText>
      </w:r>
      <w:r>
        <w:rPr>
          <w:highlight w:val="none"/>
        </w:rPr>
        <w:fldChar w:fldCharType="separate"/>
      </w:r>
      <w:r>
        <w:rPr>
          <w:highlight w:val="none"/>
        </w:rPr>
        <w:t>43</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_Toc22277 </w:instrText>
      </w:r>
      <w:r>
        <w:rPr>
          <w:rFonts w:hint="eastAsia" w:ascii="仿宋" w:hAnsi="仿宋" w:eastAsia="仿宋" w:cs="仿宋"/>
          <w:highlight w:val="none"/>
        </w:rPr>
        <w:fldChar w:fldCharType="separate"/>
      </w:r>
      <w:r>
        <w:rPr>
          <w:rFonts w:hint="eastAsia" w:ascii="仿宋" w:hAnsi="仿宋" w:eastAsia="仿宋" w:cs="仿宋"/>
          <w:highlight w:val="none"/>
        </w:rPr>
        <w:t>附件</w:t>
      </w:r>
      <w:r>
        <w:rPr>
          <w:rFonts w:hint="eastAsia" w:ascii="仿宋" w:hAnsi="仿宋" w:eastAsia="仿宋" w:cs="仿宋"/>
          <w:highlight w:val="none"/>
          <w:lang w:val="en-US" w:eastAsia="zh-CN"/>
        </w:rPr>
        <w:t>九</w:t>
      </w:r>
      <w:r>
        <w:rPr>
          <w:highlight w:val="none"/>
        </w:rPr>
        <w:tab/>
      </w:r>
      <w:r>
        <w:rPr>
          <w:highlight w:val="none"/>
        </w:rPr>
        <w:fldChar w:fldCharType="begin"/>
      </w:r>
      <w:r>
        <w:rPr>
          <w:highlight w:val="none"/>
        </w:rPr>
        <w:instrText xml:space="preserve"> PAGEREF _Toc22277 \h </w:instrText>
      </w:r>
      <w:r>
        <w:rPr>
          <w:highlight w:val="none"/>
        </w:rPr>
        <w:fldChar w:fldCharType="separate"/>
      </w:r>
      <w:r>
        <w:rPr>
          <w:highlight w:val="none"/>
        </w:rPr>
        <w:t>44</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_Toc12936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highlight w:val="none"/>
        </w:rPr>
        <w:tab/>
      </w:r>
      <w:r>
        <w:rPr>
          <w:highlight w:val="none"/>
        </w:rPr>
        <w:fldChar w:fldCharType="begin"/>
      </w:r>
      <w:r>
        <w:rPr>
          <w:highlight w:val="none"/>
        </w:rPr>
        <w:instrText xml:space="preserve"> PAGEREF _Toc12936 \h </w:instrText>
      </w:r>
      <w:r>
        <w:rPr>
          <w:highlight w:val="none"/>
        </w:rPr>
        <w:fldChar w:fldCharType="separate"/>
      </w:r>
      <w:r>
        <w:rPr>
          <w:highlight w:val="none"/>
        </w:rPr>
        <w:t>45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_Toc30474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一</w:t>
      </w:r>
      <w:r>
        <w:rPr>
          <w:highlight w:val="none"/>
        </w:rPr>
        <w:tab/>
      </w:r>
      <w:r>
        <w:rPr>
          <w:highlight w:val="none"/>
        </w:rPr>
        <w:fldChar w:fldCharType="begin"/>
      </w:r>
      <w:r>
        <w:rPr>
          <w:highlight w:val="none"/>
        </w:rPr>
        <w:instrText xml:space="preserve"> PAGEREF _Toc30474 \h </w:instrText>
      </w:r>
      <w:r>
        <w:rPr>
          <w:highlight w:val="none"/>
        </w:rPr>
        <w:fldChar w:fldCharType="separate"/>
      </w:r>
      <w:r>
        <w:rPr>
          <w:highlight w:val="none"/>
        </w:rPr>
        <w:t>46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_Toc13584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二</w:t>
      </w:r>
      <w:r>
        <w:rPr>
          <w:highlight w:val="none"/>
        </w:rPr>
        <w:tab/>
      </w:r>
      <w:r>
        <w:rPr>
          <w:highlight w:val="none"/>
        </w:rPr>
        <w:fldChar w:fldCharType="begin"/>
      </w:r>
      <w:r>
        <w:rPr>
          <w:highlight w:val="none"/>
        </w:rPr>
        <w:instrText xml:space="preserve"> PAGEREF _Toc13584 \h </w:instrText>
      </w:r>
      <w:r>
        <w:rPr>
          <w:highlight w:val="none"/>
        </w:rPr>
        <w:fldChar w:fldCharType="separate"/>
      </w:r>
      <w:r>
        <w:rPr>
          <w:highlight w:val="none"/>
        </w:rPr>
        <w:t>47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_Toc26190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三</w:t>
      </w:r>
      <w:r>
        <w:rPr>
          <w:highlight w:val="none"/>
        </w:rPr>
        <w:tab/>
      </w:r>
      <w:r>
        <w:rPr>
          <w:highlight w:val="none"/>
        </w:rPr>
        <w:fldChar w:fldCharType="begin"/>
      </w:r>
      <w:r>
        <w:rPr>
          <w:highlight w:val="none"/>
        </w:rPr>
        <w:instrText xml:space="preserve"> PAGEREF _Toc26190 \h </w:instrText>
      </w:r>
      <w:r>
        <w:rPr>
          <w:highlight w:val="none"/>
        </w:rPr>
        <w:fldChar w:fldCharType="separate"/>
      </w:r>
      <w:r>
        <w:rPr>
          <w:highlight w:val="none"/>
        </w:rPr>
        <w:t>48</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_Toc9942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四</w:t>
      </w:r>
      <w:r>
        <w:rPr>
          <w:highlight w:val="none"/>
        </w:rPr>
        <w:tab/>
      </w:r>
      <w:r>
        <w:rPr>
          <w:highlight w:val="none"/>
        </w:rPr>
        <w:fldChar w:fldCharType="begin"/>
      </w:r>
      <w:r>
        <w:rPr>
          <w:highlight w:val="none"/>
        </w:rPr>
        <w:instrText xml:space="preserve"> PAGEREF _Toc9942 \h </w:instrText>
      </w:r>
      <w:r>
        <w:rPr>
          <w:highlight w:val="none"/>
        </w:rPr>
        <w:fldChar w:fldCharType="separate"/>
      </w:r>
      <w:r>
        <w:rPr>
          <w:highlight w:val="none"/>
        </w:rPr>
        <w:t>49</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_Toc26091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五</w:t>
      </w:r>
      <w:r>
        <w:rPr>
          <w:highlight w:val="none"/>
        </w:rPr>
        <w:tab/>
      </w:r>
      <w:r>
        <w:rPr>
          <w:highlight w:val="none"/>
        </w:rPr>
        <w:fldChar w:fldCharType="begin"/>
      </w:r>
      <w:r>
        <w:rPr>
          <w:highlight w:val="none"/>
        </w:rPr>
        <w:instrText xml:space="preserve"> PAGEREF _Toc26091 \h </w:instrText>
      </w:r>
      <w:r>
        <w:rPr>
          <w:highlight w:val="none"/>
        </w:rPr>
        <w:fldChar w:fldCharType="separate"/>
      </w:r>
      <w:r>
        <w:rPr>
          <w:highlight w:val="none"/>
        </w:rPr>
        <w:t>50</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_Toc28239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六</w:t>
      </w:r>
      <w:r>
        <w:rPr>
          <w:highlight w:val="none"/>
        </w:rPr>
        <w:tab/>
      </w:r>
      <w:r>
        <w:rPr>
          <w:highlight w:val="none"/>
        </w:rPr>
        <w:fldChar w:fldCharType="begin"/>
      </w:r>
      <w:r>
        <w:rPr>
          <w:highlight w:val="none"/>
        </w:rPr>
        <w:instrText xml:space="preserve"> PAGEREF _Toc28239 \h </w:instrText>
      </w:r>
      <w:r>
        <w:rPr>
          <w:highlight w:val="none"/>
        </w:rPr>
        <w:fldChar w:fldCharType="separate"/>
      </w:r>
      <w:r>
        <w:rPr>
          <w:highlight w:val="none"/>
        </w:rPr>
        <w:t>52</w:t>
      </w:r>
      <w:r>
        <w:rPr>
          <w:highlight w:val="none"/>
        </w:rPr>
        <w:fldChar w:fldCharType="end"/>
      </w:r>
      <w:r>
        <w:rPr>
          <w:rFonts w:hint="eastAsia" w:ascii="仿宋" w:hAnsi="仿宋" w:eastAsia="仿宋" w:cs="仿宋"/>
          <w:highlight w:val="none"/>
        </w:rPr>
        <w:fldChar w:fldCharType="end"/>
      </w:r>
    </w:p>
    <w:p>
      <w:pPr>
        <w:pStyle w:val="35"/>
        <w:ind w:firstLine="0" w:firstLineChars="0"/>
        <w:rPr>
          <w:rStyle w:val="50"/>
          <w:rFonts w:hint="eastAsia" w:ascii="仿宋" w:hAnsi="仿宋" w:eastAsia="仿宋" w:cs="仿宋"/>
          <w:color w:val="auto"/>
          <w:sz w:val="24"/>
          <w:highlight w:val="none"/>
        </w:rPr>
      </w:pPr>
      <w:r>
        <w:rPr>
          <w:rFonts w:hint="eastAsia" w:ascii="仿宋" w:hAnsi="仿宋" w:eastAsia="仿宋" w:cs="仿宋"/>
          <w:highlight w:val="none"/>
        </w:rPr>
        <w:fldChar w:fldCharType="end"/>
      </w:r>
    </w:p>
    <w:p>
      <w:pPr>
        <w:pStyle w:val="5"/>
        <w:spacing w:before="0" w:after="145" w:afterLines="50" w:line="360" w:lineRule="auto"/>
        <w:jc w:val="center"/>
        <w:rPr>
          <w:rFonts w:hint="eastAsia" w:ascii="仿宋" w:hAnsi="仿宋" w:eastAsia="仿宋" w:cs="仿宋"/>
          <w:sz w:val="32"/>
          <w:szCs w:val="32"/>
          <w:highlight w:val="none"/>
        </w:rPr>
      </w:pPr>
      <w:bookmarkStart w:id="0" w:name="_Toc17087"/>
      <w:r>
        <w:rPr>
          <w:rFonts w:hint="eastAsia" w:ascii="仿宋" w:hAnsi="仿宋" w:eastAsia="仿宋" w:cs="仿宋"/>
          <w:sz w:val="32"/>
          <w:szCs w:val="32"/>
          <w:highlight w:val="none"/>
        </w:rPr>
        <w:t>第一章 投标邀请</w:t>
      </w:r>
      <w:bookmarkEnd w:id="0"/>
    </w:p>
    <w:p>
      <w:pPr>
        <w:pStyle w:val="3"/>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山东华仁永旺招标有限公司受</w:t>
      </w:r>
      <w:r>
        <w:rPr>
          <w:rFonts w:hint="eastAsia" w:ascii="仿宋" w:hAnsi="仿宋" w:eastAsia="仿宋" w:cs="仿宋"/>
          <w:highlight w:val="none"/>
          <w:lang w:val="en-US" w:eastAsia="zh-CN"/>
        </w:rPr>
        <w:t>山东第一医科大学（山东省医学科学院）</w:t>
      </w:r>
      <w:r>
        <w:rPr>
          <w:rFonts w:hint="eastAsia" w:ascii="仿宋" w:hAnsi="仿宋" w:eastAsia="仿宋" w:cs="仿宋"/>
          <w:highlight w:val="none"/>
          <w:lang w:eastAsia="zh-CN"/>
        </w:rPr>
        <w:t>委托，就山东第一医科大学科教融合循环肿瘤细胞准确识别及在食管癌队列早期筛查科研材料采购项目</w:t>
      </w:r>
      <w:r>
        <w:rPr>
          <w:rFonts w:hint="eastAsia" w:ascii="仿宋" w:hAnsi="仿宋" w:eastAsia="仿宋" w:cs="仿宋"/>
          <w:highlight w:val="none"/>
        </w:rPr>
        <w:t>进行国内单一来源采购。</w:t>
      </w:r>
    </w:p>
    <w:p>
      <w:pPr>
        <w:pStyle w:val="3"/>
        <w:numPr>
          <w:ilvl w:val="0"/>
          <w:numId w:val="2"/>
        </w:numPr>
        <w:tabs>
          <w:tab w:val="left" w:pos="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项目名称：</w:t>
      </w:r>
      <w:r>
        <w:rPr>
          <w:rFonts w:hint="eastAsia" w:ascii="仿宋" w:hAnsi="仿宋" w:eastAsia="仿宋" w:cs="仿宋"/>
          <w:highlight w:val="none"/>
          <w:lang w:eastAsia="zh-CN"/>
        </w:rPr>
        <w:t>山东第一医科大学科教融合循环肿瘤细胞准确识别及在食管癌队列早期筛查科研材料采购项目单一来源采购</w:t>
      </w:r>
    </w:p>
    <w:p>
      <w:pPr>
        <w:pStyle w:val="3"/>
        <w:numPr>
          <w:ilvl w:val="0"/>
          <w:numId w:val="2"/>
        </w:numPr>
        <w:tabs>
          <w:tab w:val="left" w:pos="0"/>
          <w:tab w:val="left" w:pos="955"/>
        </w:tabs>
        <w:spacing w:line="360" w:lineRule="auto"/>
        <w:ind w:left="0" w:leftChars="0" w:firstLine="480" w:firstLineChars="200"/>
        <w:jc w:val="left"/>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SDGP370000000202302009261/sdhryw2023318</w:t>
      </w:r>
    </w:p>
    <w:p>
      <w:pPr>
        <w:pStyle w:val="4"/>
        <w:numPr>
          <w:ilvl w:val="0"/>
          <w:numId w:val="0"/>
        </w:numPr>
        <w:ind w:leftChars="200"/>
        <w:rPr>
          <w:rFonts w:hint="eastAsia" w:eastAsia="宋体"/>
          <w:lang w:val="en-US" w:eastAsia="zh-CN"/>
        </w:rPr>
      </w:pPr>
      <w:r>
        <w:rPr>
          <w:rFonts w:hint="eastAsia"/>
          <w:lang w:val="en-US" w:eastAsia="zh-CN"/>
        </w:rPr>
        <w:t xml:space="preserve">    计划编号：37000000014006520230404</w:t>
      </w:r>
    </w:p>
    <w:p>
      <w:pPr>
        <w:pStyle w:val="3"/>
        <w:tabs>
          <w:tab w:val="left" w:pos="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3、项目说明：共</w:t>
      </w:r>
      <w:r>
        <w:rPr>
          <w:rFonts w:hint="eastAsia" w:ascii="仿宋" w:hAnsi="仿宋" w:eastAsia="仿宋" w:cs="仿宋"/>
          <w:highlight w:val="none"/>
          <w:lang w:val="en-US" w:eastAsia="zh-CN"/>
        </w:rPr>
        <w:t>1</w:t>
      </w:r>
      <w:r>
        <w:rPr>
          <w:rFonts w:hint="eastAsia" w:ascii="仿宋" w:hAnsi="仿宋" w:eastAsia="仿宋" w:cs="仿宋"/>
          <w:highlight w:val="none"/>
        </w:rPr>
        <w:t>个包，</w:t>
      </w:r>
      <w:r>
        <w:rPr>
          <w:rFonts w:hint="eastAsia" w:ascii="仿宋" w:hAnsi="仿宋" w:eastAsia="仿宋" w:cs="仿宋"/>
          <w:highlight w:val="none"/>
          <w:lang w:val="en-US" w:eastAsia="zh-CN"/>
        </w:rPr>
        <w:t>1包预算：39.6万元；</w:t>
      </w:r>
      <w:r>
        <w:rPr>
          <w:rFonts w:hint="eastAsia" w:ascii="仿宋" w:hAnsi="仿宋" w:eastAsia="仿宋" w:cs="仿宋"/>
          <w:highlight w:val="none"/>
        </w:rPr>
        <w:t>供应商必须整包响应，不得分解后进行响应。详细技术指标见第三章项目说明部分。</w:t>
      </w:r>
    </w:p>
    <w:p>
      <w:pPr>
        <w:pStyle w:val="3"/>
        <w:tabs>
          <w:tab w:val="left" w:pos="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4、拟定的唯一供应商的名称：</w:t>
      </w:r>
    </w:p>
    <w:p>
      <w:pPr>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山东喻晓生物科技有限公司  </w:t>
      </w:r>
    </w:p>
    <w:p>
      <w:pPr>
        <w:pStyle w:val="2"/>
        <w:ind w:left="0" w:leftChars="0" w:firstLine="480" w:firstLineChars="200"/>
        <w:rPr>
          <w:rFonts w:hint="eastAsia"/>
          <w:highlight w:val="none"/>
          <w:lang w:val="en-US" w:eastAsia="zh-CN"/>
        </w:rPr>
      </w:pPr>
      <w:r>
        <w:rPr>
          <w:rFonts w:hint="eastAsia" w:ascii="仿宋" w:hAnsi="仿宋" w:eastAsia="仿宋" w:cs="仿宋"/>
          <w:kern w:val="2"/>
          <w:sz w:val="24"/>
          <w:szCs w:val="24"/>
          <w:highlight w:val="none"/>
          <w:lang w:val="en-US" w:eastAsia="zh-CN" w:bidi="ar-SA"/>
        </w:rPr>
        <w:t>地址：山东省济南市章丘区双山街道山东省医学科学院综合楼316室、301室</w:t>
      </w:r>
    </w:p>
    <w:p>
      <w:pPr>
        <w:pStyle w:val="3"/>
        <w:numPr>
          <w:ilvl w:val="0"/>
          <w:numId w:val="0"/>
        </w:numPr>
        <w:tabs>
          <w:tab w:val="left" w:pos="0"/>
          <w:tab w:val="left" w:pos="955"/>
        </w:tabs>
        <w:spacing w:line="360" w:lineRule="auto"/>
        <w:ind w:leftChars="200"/>
        <w:jc w:val="left"/>
        <w:rPr>
          <w:rFonts w:hint="eastAsia" w:ascii="仿宋" w:hAnsi="仿宋" w:eastAsia="仿宋" w:cs="仿宋"/>
          <w:highlight w:val="none"/>
        </w:rPr>
      </w:pPr>
      <w:r>
        <w:rPr>
          <w:rFonts w:hint="eastAsia" w:ascii="仿宋" w:hAnsi="仿宋" w:eastAsia="仿宋" w:cs="仿宋"/>
          <w:highlight w:val="none"/>
          <w:lang w:val="en-US" w:eastAsia="zh-CN"/>
        </w:rPr>
        <w:t>5、</w:t>
      </w:r>
      <w:r>
        <w:rPr>
          <w:rFonts w:hint="eastAsia" w:ascii="仿宋" w:hAnsi="仿宋" w:eastAsia="仿宋" w:cs="仿宋"/>
          <w:highlight w:val="none"/>
        </w:rPr>
        <w:t>公示期限：</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11</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9</w:t>
      </w:r>
      <w:r>
        <w:rPr>
          <w:rFonts w:hint="eastAsia" w:ascii="仿宋" w:hAnsi="仿宋" w:eastAsia="仿宋" w:cs="仿宋"/>
          <w:highlight w:val="none"/>
          <w:lang w:eastAsia="zh-CN"/>
        </w:rPr>
        <w:t>日</w:t>
      </w:r>
      <w:r>
        <w:rPr>
          <w:rFonts w:hint="eastAsia" w:ascii="仿宋" w:hAnsi="仿宋" w:eastAsia="仿宋" w:cs="仿宋"/>
          <w:highlight w:val="none"/>
        </w:rPr>
        <w:t>至</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11</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15</w:t>
      </w:r>
      <w:r>
        <w:rPr>
          <w:rFonts w:hint="eastAsia" w:ascii="仿宋" w:hAnsi="仿宋" w:eastAsia="仿宋" w:cs="仿宋"/>
          <w:highlight w:val="none"/>
          <w:lang w:eastAsia="zh-CN"/>
        </w:rPr>
        <w:t>日</w:t>
      </w:r>
    </w:p>
    <w:p>
      <w:pPr>
        <w:pStyle w:val="3"/>
        <w:tabs>
          <w:tab w:val="left" w:pos="0"/>
          <w:tab w:val="left" w:pos="955"/>
        </w:tabs>
        <w:spacing w:line="360" w:lineRule="auto"/>
        <w:ind w:left="420" w:leftChars="200" w:firstLine="0" w:firstLineChars="0"/>
        <w:jc w:val="left"/>
        <w:rPr>
          <w:rFonts w:hint="eastAsia" w:ascii="仿宋" w:hAnsi="仿宋" w:eastAsia="仿宋" w:cs="仿宋"/>
          <w:highlight w:val="none"/>
        </w:rPr>
      </w:pPr>
      <w:r>
        <w:rPr>
          <w:rFonts w:hint="eastAsia" w:ascii="仿宋" w:hAnsi="仿宋" w:eastAsia="仿宋" w:cs="仿宋"/>
          <w:highlight w:val="none"/>
        </w:rPr>
        <w:t>如潜在供应商对本公示内容有异议，请于公示期内将异议书面说明（包括供应商名</w:t>
      </w:r>
    </w:p>
    <w:p>
      <w:pPr>
        <w:pStyle w:val="3"/>
        <w:tabs>
          <w:tab w:val="left" w:pos="0"/>
          <w:tab w:val="left" w:pos="955"/>
        </w:tabs>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称、联系人、联系电话、能够提供本采购项目的服务说明及营业执照等证件复印件加盖公章）反馈至山东华仁永旺招标有限公司。</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lang w:val="en-US" w:eastAsia="zh-CN"/>
        </w:rPr>
        <w:t>6、</w:t>
      </w:r>
      <w:r>
        <w:rPr>
          <w:rFonts w:hint="eastAsia" w:ascii="仿宋" w:hAnsi="仿宋" w:eastAsia="仿宋" w:cs="仿宋"/>
          <w:highlight w:val="none"/>
        </w:rPr>
        <w:t>购买</w:t>
      </w:r>
      <w:r>
        <w:rPr>
          <w:rFonts w:hint="eastAsia" w:ascii="仿宋" w:hAnsi="仿宋" w:eastAsia="仿宋" w:cs="仿宋"/>
          <w:highlight w:val="none"/>
          <w:lang w:eastAsia="zh-CN"/>
        </w:rPr>
        <w:t>采购文件</w:t>
      </w:r>
      <w:r>
        <w:rPr>
          <w:rFonts w:hint="eastAsia" w:ascii="仿宋" w:hAnsi="仿宋" w:eastAsia="仿宋" w:cs="仿宋"/>
          <w:highlight w:val="none"/>
        </w:rPr>
        <w:t>时间：</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11</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9</w:t>
      </w:r>
      <w:r>
        <w:rPr>
          <w:rFonts w:hint="eastAsia" w:ascii="仿宋" w:hAnsi="仿宋" w:eastAsia="仿宋" w:cs="仿宋"/>
          <w:highlight w:val="none"/>
          <w:lang w:eastAsia="zh-CN"/>
        </w:rPr>
        <w:t>日</w:t>
      </w:r>
      <w:r>
        <w:rPr>
          <w:rFonts w:hint="eastAsia" w:ascii="仿宋" w:hAnsi="仿宋" w:eastAsia="仿宋" w:cs="仿宋"/>
          <w:highlight w:val="none"/>
        </w:rPr>
        <w:t>开始至</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11</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15</w:t>
      </w:r>
      <w:r>
        <w:rPr>
          <w:rFonts w:hint="eastAsia" w:ascii="仿宋" w:hAnsi="仿宋" w:eastAsia="仿宋" w:cs="仿宋"/>
          <w:highlight w:val="none"/>
          <w:lang w:eastAsia="zh-CN"/>
        </w:rPr>
        <w:t>日</w:t>
      </w:r>
      <w:r>
        <w:rPr>
          <w:rFonts w:hint="eastAsia" w:ascii="仿宋" w:hAnsi="仿宋" w:eastAsia="仿宋" w:cs="仿宋"/>
          <w:highlight w:val="none"/>
        </w:rPr>
        <w:t>止，上午9：00—1</w:t>
      </w:r>
      <w:r>
        <w:rPr>
          <w:rFonts w:hint="eastAsia" w:ascii="仿宋" w:hAnsi="仿宋" w:eastAsia="仿宋" w:cs="仿宋"/>
          <w:highlight w:val="none"/>
          <w:lang w:val="en-US" w:eastAsia="zh-CN"/>
        </w:rPr>
        <w:t>1</w:t>
      </w: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0，下午1</w:t>
      </w:r>
      <w:r>
        <w:rPr>
          <w:rFonts w:hint="eastAsia" w:ascii="仿宋" w:hAnsi="仿宋" w:eastAsia="仿宋" w:cs="仿宋"/>
          <w:highlight w:val="none"/>
          <w:lang w:val="en-US" w:eastAsia="zh-CN"/>
        </w:rPr>
        <w:t>3</w:t>
      </w:r>
      <w:r>
        <w:rPr>
          <w:rFonts w:hint="eastAsia" w:ascii="仿宋" w:hAnsi="仿宋" w:eastAsia="仿宋" w:cs="仿宋"/>
          <w:highlight w:val="none"/>
        </w:rPr>
        <w:t>：30—1</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0（北京时间，节假日除外）</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lang w:val="en-US" w:eastAsia="zh-CN"/>
        </w:rPr>
        <w:t>7</w:t>
      </w:r>
      <w:r>
        <w:rPr>
          <w:rFonts w:hint="eastAsia" w:ascii="仿宋" w:hAnsi="仿宋" w:eastAsia="仿宋" w:cs="仿宋"/>
          <w:highlight w:val="none"/>
        </w:rPr>
        <w:t>、地点：济南市历下区经十路13777号中润世纪广场18号楼603</w:t>
      </w:r>
    </w:p>
    <w:p>
      <w:pPr>
        <w:pStyle w:val="3"/>
        <w:tabs>
          <w:tab w:val="left" w:pos="0"/>
          <w:tab w:val="left" w:pos="840"/>
          <w:tab w:val="left" w:pos="955"/>
        </w:tabs>
        <w:spacing w:line="360" w:lineRule="auto"/>
        <w:ind w:left="0" w:leftChars="0" w:firstLine="480" w:firstLineChars="200"/>
        <w:jc w:val="left"/>
        <w:rPr>
          <w:rFonts w:ascii="仿宋" w:hAnsi="仿宋" w:eastAsia="仿宋" w:cs="仿宋"/>
          <w:sz w:val="24"/>
          <w:szCs w:val="24"/>
          <w:highlight w:val="none"/>
        </w:rPr>
      </w:pPr>
      <w:r>
        <w:rPr>
          <w:rFonts w:hint="eastAsia" w:ascii="仿宋" w:hAnsi="仿宋" w:eastAsia="仿宋" w:cs="仿宋"/>
          <w:sz w:val="24"/>
          <w:highlight w:val="none"/>
          <w:lang w:val="en-US" w:eastAsia="zh-CN"/>
        </w:rPr>
        <w:t>8</w:t>
      </w:r>
      <w:r>
        <w:rPr>
          <w:rFonts w:hint="eastAsia" w:ascii="仿宋" w:hAnsi="仿宋" w:eastAsia="仿宋" w:cs="仿宋"/>
          <w:sz w:val="24"/>
          <w:highlight w:val="none"/>
        </w:rPr>
        <w:t>、方式：凡有意参加本次政府采购的供应商请将携带以下材料复印件加盖公章现场报名：①营业执照副本②税务登记证③组织机构代码证（以上证件若为三证合一的，出具具有统一社会信用代码的营业执照）④法人授权委托书及被授权代表身份证（加盖投标人公章)等资料加盖公章的复印件一套。邮箱报名：上述资料盖章扫描件发至邮箱，邮箱地址：</w:t>
      </w:r>
      <w:r>
        <w:rPr>
          <w:rFonts w:hint="eastAsia" w:ascii="仿宋" w:hAnsi="仿宋" w:eastAsia="仿宋" w:cs="仿宋"/>
          <w:sz w:val="24"/>
          <w:highlight w:val="none"/>
          <w:lang w:eastAsia="zh-CN"/>
        </w:rPr>
        <w:t>sdhryw@sina.com</w:t>
      </w:r>
      <w:r>
        <w:rPr>
          <w:rFonts w:hint="eastAsia" w:ascii="仿宋" w:hAnsi="仿宋" w:eastAsia="仿宋" w:cs="仿宋"/>
          <w:sz w:val="24"/>
          <w:highlight w:val="none"/>
        </w:rPr>
        <w:t>。（开户单位：山东华仁永旺招标有限公司，开户银行：中国工商银行济南高新支行，帐号：1602023609200296250）。必须公对公转账汇款时请备注：”</w:t>
      </w:r>
      <w:r>
        <w:rPr>
          <w:rFonts w:hint="eastAsia" w:ascii="仿宋" w:hAnsi="仿宋" w:eastAsia="仿宋" w:cs="仿宋"/>
          <w:sz w:val="24"/>
          <w:highlight w:val="none"/>
          <w:lang w:eastAsia="zh-CN"/>
        </w:rPr>
        <w:t>23-</w:t>
      </w:r>
      <w:r>
        <w:rPr>
          <w:rFonts w:hint="eastAsia" w:ascii="仿宋" w:hAnsi="仿宋" w:eastAsia="仿宋" w:cs="仿宋"/>
          <w:sz w:val="24"/>
          <w:highlight w:val="none"/>
          <w:lang w:val="en-US" w:eastAsia="zh-CN"/>
        </w:rPr>
        <w:t>318</w:t>
      </w:r>
      <w:r>
        <w:rPr>
          <w:rFonts w:hint="eastAsia" w:ascii="仿宋" w:hAnsi="仿宋" w:eastAsia="仿宋" w:cs="仿宋"/>
          <w:sz w:val="24"/>
          <w:highlight w:val="none"/>
        </w:rPr>
        <w:t>报名费”字样。投标文件售出不退。</w:t>
      </w:r>
      <w:r>
        <w:rPr>
          <w:rFonts w:hint="eastAsia" w:ascii="仿宋" w:hAnsi="仿宋" w:eastAsia="仿宋" w:cs="仿宋"/>
          <w:b/>
          <w:sz w:val="24"/>
          <w:highlight w:val="none"/>
        </w:rPr>
        <w:t>投标报名时的资料查验不代表资格审查的最终通过或合格，投标人最终资格的确认以评标委员会的资格后审为准。</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b/>
          <w:highlight w:val="none"/>
        </w:rPr>
      </w:pPr>
      <w:r>
        <w:rPr>
          <w:rFonts w:hint="eastAsia" w:ascii="仿宋" w:hAnsi="仿宋" w:eastAsia="仿宋" w:cs="仿宋"/>
          <w:highlight w:val="none"/>
          <w:lang w:val="en-US" w:eastAsia="zh-CN"/>
        </w:rPr>
        <w:t>9</w:t>
      </w:r>
      <w:r>
        <w:rPr>
          <w:rFonts w:hint="eastAsia" w:ascii="仿宋" w:hAnsi="仿宋" w:eastAsia="仿宋" w:cs="仿宋"/>
          <w:highlight w:val="none"/>
        </w:rPr>
        <w:t>、标书工本费：</w:t>
      </w:r>
      <w:r>
        <w:rPr>
          <w:rFonts w:hint="eastAsia" w:ascii="仿宋" w:hAnsi="仿宋" w:eastAsia="仿宋" w:cs="仿宋"/>
          <w:highlight w:val="none"/>
          <w:lang w:val="en-US" w:eastAsia="zh-CN"/>
        </w:rPr>
        <w:t>3</w:t>
      </w:r>
      <w:r>
        <w:rPr>
          <w:rFonts w:hint="eastAsia" w:ascii="仿宋" w:hAnsi="仿宋" w:eastAsia="仿宋" w:cs="仿宋"/>
          <w:highlight w:val="none"/>
        </w:rPr>
        <w:t>00元/包。</w:t>
      </w:r>
      <w:r>
        <w:rPr>
          <w:rFonts w:hint="eastAsia" w:ascii="仿宋" w:hAnsi="仿宋" w:eastAsia="仿宋" w:cs="仿宋"/>
          <w:b/>
          <w:highlight w:val="none"/>
          <w:lang w:eastAsia="zh-CN"/>
        </w:rPr>
        <w:t>采购文件</w:t>
      </w:r>
      <w:r>
        <w:rPr>
          <w:rFonts w:hint="eastAsia" w:ascii="仿宋" w:hAnsi="仿宋" w:eastAsia="仿宋" w:cs="仿宋"/>
          <w:b/>
          <w:highlight w:val="none"/>
        </w:rPr>
        <w:t>售出不退。</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0</w:t>
      </w:r>
      <w:r>
        <w:rPr>
          <w:rFonts w:hint="eastAsia" w:ascii="仿宋" w:hAnsi="仿宋" w:eastAsia="仿宋" w:cs="仿宋"/>
          <w:highlight w:val="none"/>
        </w:rPr>
        <w:t>、</w:t>
      </w:r>
      <w:r>
        <w:rPr>
          <w:rFonts w:hint="eastAsia" w:ascii="仿宋" w:hAnsi="仿宋" w:eastAsia="仿宋" w:cs="仿宋"/>
          <w:szCs w:val="21"/>
          <w:highlight w:val="none"/>
        </w:rPr>
        <w:t>开标及递交</w:t>
      </w:r>
      <w:r>
        <w:rPr>
          <w:rFonts w:hint="eastAsia" w:ascii="仿宋" w:hAnsi="仿宋" w:eastAsia="仿宋" w:cs="仿宋"/>
          <w:szCs w:val="21"/>
          <w:highlight w:val="none"/>
          <w:lang w:eastAsia="zh-CN"/>
        </w:rPr>
        <w:t>响应文件</w:t>
      </w:r>
      <w:r>
        <w:rPr>
          <w:rFonts w:hint="eastAsia" w:ascii="仿宋" w:hAnsi="仿宋" w:eastAsia="仿宋" w:cs="仿宋"/>
          <w:szCs w:val="21"/>
          <w:highlight w:val="none"/>
        </w:rPr>
        <w:t>时间和地点：</w:t>
      </w:r>
    </w:p>
    <w:p>
      <w:pPr>
        <w:pStyle w:val="3"/>
        <w:tabs>
          <w:tab w:val="left" w:pos="0"/>
          <w:tab w:val="left" w:pos="840"/>
          <w:tab w:val="left" w:pos="955"/>
        </w:tabs>
        <w:wordWrap w:val="0"/>
        <w:spacing w:line="360" w:lineRule="auto"/>
        <w:ind w:left="0" w:leftChars="0"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1）</w:t>
      </w:r>
      <w:r>
        <w:rPr>
          <w:rFonts w:hint="eastAsia" w:ascii="仿宋" w:hAnsi="仿宋" w:eastAsia="仿宋" w:cs="仿宋"/>
          <w:szCs w:val="21"/>
          <w:highlight w:val="none"/>
        </w:rPr>
        <w:t>递交</w:t>
      </w:r>
      <w:r>
        <w:rPr>
          <w:rFonts w:hint="eastAsia" w:ascii="仿宋" w:hAnsi="仿宋" w:eastAsia="仿宋" w:cs="仿宋"/>
          <w:szCs w:val="21"/>
          <w:highlight w:val="none"/>
          <w:lang w:eastAsia="zh-CN"/>
        </w:rPr>
        <w:t>响应文件</w:t>
      </w:r>
      <w:r>
        <w:rPr>
          <w:rFonts w:hint="eastAsia" w:ascii="仿宋" w:hAnsi="仿宋" w:eastAsia="仿宋" w:cs="仿宋"/>
          <w:szCs w:val="21"/>
          <w:highlight w:val="none"/>
        </w:rPr>
        <w:t>时间</w:t>
      </w:r>
      <w:r>
        <w:rPr>
          <w:rFonts w:hint="eastAsia" w:ascii="仿宋" w:hAnsi="仿宋" w:eastAsia="仿宋" w:cs="仿宋"/>
          <w:szCs w:val="21"/>
          <w:highlight w:val="none"/>
          <w:lang w:eastAsia="zh-CN"/>
        </w:rPr>
        <w:t>：</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11</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20</w:t>
      </w:r>
      <w:r>
        <w:rPr>
          <w:rFonts w:hint="eastAsia" w:ascii="仿宋" w:hAnsi="仿宋" w:eastAsia="仿宋" w:cs="仿宋"/>
          <w:highlight w:val="none"/>
          <w:lang w:eastAsia="zh-CN"/>
        </w:rPr>
        <w:t>日</w:t>
      </w:r>
      <w:r>
        <w:rPr>
          <w:rFonts w:hint="eastAsia" w:ascii="仿宋" w:hAnsi="仿宋" w:eastAsia="仿宋" w:cs="仿宋"/>
          <w:highlight w:val="none"/>
          <w:lang w:val="en-US" w:eastAsia="zh-CN"/>
        </w:rPr>
        <w:t>13</w:t>
      </w:r>
      <w:r>
        <w:rPr>
          <w:rFonts w:hint="eastAsia" w:ascii="仿宋" w:hAnsi="仿宋" w:eastAsia="仿宋" w:cs="仿宋"/>
          <w:highlight w:val="none"/>
        </w:rPr>
        <w:t>时</w:t>
      </w:r>
      <w:r>
        <w:rPr>
          <w:rFonts w:hint="eastAsia" w:ascii="仿宋" w:hAnsi="仿宋" w:eastAsia="仿宋" w:cs="仿宋"/>
          <w:highlight w:val="none"/>
          <w:lang w:val="en-US" w:eastAsia="zh-CN"/>
        </w:rPr>
        <w:t>3</w:t>
      </w:r>
      <w:r>
        <w:rPr>
          <w:rFonts w:hint="eastAsia" w:ascii="仿宋" w:hAnsi="仿宋" w:eastAsia="仿宋" w:cs="仿宋"/>
          <w:highlight w:val="none"/>
        </w:rPr>
        <w:t>0分</w:t>
      </w:r>
      <w:r>
        <w:rPr>
          <w:rFonts w:hint="eastAsia" w:ascii="仿宋" w:hAnsi="仿宋" w:eastAsia="仿宋" w:cs="仿宋"/>
          <w:highlight w:val="none"/>
          <w:lang w:val="en-US" w:eastAsia="zh-CN"/>
        </w:rPr>
        <w:t>--14</w:t>
      </w:r>
      <w:r>
        <w:rPr>
          <w:rFonts w:hint="eastAsia" w:ascii="仿宋" w:hAnsi="仿宋" w:eastAsia="仿宋" w:cs="仿宋"/>
          <w:highlight w:val="none"/>
        </w:rPr>
        <w:t>时</w:t>
      </w:r>
      <w:r>
        <w:rPr>
          <w:rFonts w:hint="eastAsia" w:ascii="仿宋" w:hAnsi="仿宋" w:eastAsia="仿宋" w:cs="仿宋"/>
          <w:highlight w:val="none"/>
          <w:lang w:val="en-US" w:eastAsia="zh-CN"/>
        </w:rPr>
        <w:t>0</w:t>
      </w:r>
      <w:r>
        <w:rPr>
          <w:rFonts w:hint="eastAsia" w:ascii="仿宋" w:hAnsi="仿宋" w:eastAsia="仿宋" w:cs="仿宋"/>
          <w:highlight w:val="none"/>
        </w:rPr>
        <w:t>0分（北京时</w:t>
      </w:r>
      <w:r>
        <w:rPr>
          <w:rFonts w:hint="eastAsia" w:ascii="仿宋" w:hAnsi="仿宋" w:eastAsia="仿宋" w:cs="仿宋"/>
          <w:highlight w:val="none"/>
          <w:lang w:eastAsia="zh-CN"/>
        </w:rPr>
        <w:t>间）</w:t>
      </w:r>
    </w:p>
    <w:p>
      <w:pPr>
        <w:pStyle w:val="3"/>
        <w:tabs>
          <w:tab w:val="left" w:pos="0"/>
          <w:tab w:val="left" w:pos="840"/>
          <w:tab w:val="left" w:pos="955"/>
        </w:tabs>
        <w:wordWrap w:val="0"/>
        <w:spacing w:line="360" w:lineRule="auto"/>
        <w:ind w:left="0" w:leftChars="0" w:firstLine="480" w:firstLineChars="200"/>
        <w:rPr>
          <w:rFonts w:hint="eastAsia" w:ascii="仿宋" w:hAnsi="仿宋" w:eastAsia="仿宋" w:cs="仿宋"/>
          <w:kern w:val="0"/>
          <w:highlight w:val="none"/>
          <w:lang w:val="en-US" w:eastAsia="zh-CN"/>
        </w:rPr>
      </w:pPr>
      <w:r>
        <w:rPr>
          <w:rFonts w:hint="eastAsia" w:ascii="仿宋" w:hAnsi="仿宋" w:eastAsia="仿宋" w:cs="仿宋"/>
          <w:highlight w:val="none"/>
        </w:rPr>
        <w:t>2）开标地点：济南市历下区经十路13777号中润世纪广场18号楼</w:t>
      </w:r>
      <w:r>
        <w:rPr>
          <w:rFonts w:hint="eastAsia" w:ascii="仿宋" w:hAnsi="仿宋" w:eastAsia="仿宋" w:cs="仿宋"/>
          <w:highlight w:val="none"/>
          <w:lang w:val="en-US" w:eastAsia="zh-CN"/>
        </w:rPr>
        <w:t>301</w:t>
      </w:r>
      <w:r>
        <w:rPr>
          <w:rFonts w:hint="eastAsia" w:ascii="仿宋" w:hAnsi="仿宋" w:eastAsia="仿宋" w:cs="仿宋"/>
          <w:highlight w:val="none"/>
          <w:lang w:eastAsia="zh-CN"/>
        </w:rPr>
        <w:t>。</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1</w:t>
      </w:r>
      <w:r>
        <w:rPr>
          <w:rFonts w:hint="eastAsia" w:ascii="仿宋" w:hAnsi="仿宋" w:eastAsia="仿宋" w:cs="仿宋"/>
          <w:highlight w:val="none"/>
        </w:rPr>
        <w:t>、若有疑问或须澄清的内容请联系采购人或</w:t>
      </w:r>
      <w:r>
        <w:rPr>
          <w:rFonts w:hint="eastAsia" w:ascii="仿宋" w:hAnsi="仿宋" w:eastAsia="仿宋" w:cs="仿宋"/>
          <w:highlight w:val="none"/>
          <w:lang w:eastAsia="zh-CN"/>
        </w:rPr>
        <w:t>采购代理机构</w:t>
      </w:r>
      <w:r>
        <w:rPr>
          <w:rFonts w:hint="eastAsia" w:ascii="仿宋" w:hAnsi="仿宋" w:eastAsia="仿宋" w:cs="仿宋"/>
          <w:highlight w:val="none"/>
        </w:rPr>
        <w:t>。</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1）采购人：</w:t>
      </w:r>
      <w:r>
        <w:rPr>
          <w:rFonts w:hint="eastAsia" w:ascii="仿宋" w:hAnsi="仿宋" w:eastAsia="仿宋" w:cs="仿宋"/>
          <w:highlight w:val="none"/>
          <w:lang w:eastAsia="zh-CN"/>
        </w:rPr>
        <w:t>山东第一医科大学</w:t>
      </w:r>
      <w:r>
        <w:rPr>
          <w:rFonts w:hint="eastAsia" w:ascii="仿宋" w:hAnsi="仿宋" w:eastAsia="仿宋" w:cs="仿宋"/>
          <w:highlight w:val="none"/>
        </w:rPr>
        <w:t xml:space="preserve"> </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采购代理机构</w:t>
      </w:r>
      <w:r>
        <w:rPr>
          <w:rFonts w:hint="eastAsia" w:ascii="仿宋" w:hAnsi="仿宋" w:eastAsia="仿宋" w:cs="仿宋"/>
          <w:highlight w:val="none"/>
        </w:rPr>
        <w:t>：山东华仁永旺招标有限公司</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b/>
          <w:bCs/>
          <w:highlight w:val="none"/>
        </w:rPr>
      </w:pPr>
      <w:r>
        <w:rPr>
          <w:rFonts w:hint="eastAsia" w:ascii="仿宋" w:hAnsi="仿宋" w:eastAsia="仿宋" w:cs="仿宋"/>
          <w:highlight w:val="none"/>
        </w:rPr>
        <w:t>地址：济南市历下区经十路13777号中润世纪广场18号楼603</w:t>
      </w:r>
    </w:p>
    <w:p>
      <w:pPr>
        <w:pStyle w:val="3"/>
        <w:tabs>
          <w:tab w:val="left" w:pos="0"/>
          <w:tab w:val="left" w:pos="840"/>
          <w:tab w:val="left" w:pos="955"/>
        </w:tabs>
        <w:spacing w:line="360" w:lineRule="auto"/>
        <w:ind w:left="0" w:leftChars="0" w:firstLine="480" w:firstLineChars="200"/>
        <w:jc w:val="left"/>
        <w:rPr>
          <w:rFonts w:hint="default" w:ascii="仿宋" w:hAnsi="仿宋" w:eastAsia="仿宋" w:cs="仿宋"/>
          <w:highlight w:val="none"/>
          <w:lang w:val="en-US" w:eastAsia="zh-CN"/>
        </w:rPr>
      </w:pPr>
      <w:r>
        <w:rPr>
          <w:rFonts w:hint="eastAsia" w:ascii="仿宋" w:hAnsi="仿宋" w:eastAsia="仿宋" w:cs="仿宋"/>
          <w:highlight w:val="none"/>
        </w:rPr>
        <w:t>联系电话：0531-8858923</w:t>
      </w:r>
      <w:r>
        <w:rPr>
          <w:rFonts w:hint="eastAsia" w:ascii="仿宋" w:hAnsi="仿宋" w:eastAsia="仿宋" w:cs="仿宋"/>
          <w:highlight w:val="none"/>
          <w:lang w:val="en-US" w:eastAsia="zh-CN"/>
        </w:rPr>
        <w:t>7</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葛东银</w:t>
      </w:r>
      <w:r>
        <w:rPr>
          <w:rFonts w:hint="eastAsia" w:ascii="仿宋" w:hAnsi="仿宋" w:eastAsia="仿宋" w:cs="仿宋"/>
          <w:highlight w:val="none"/>
          <w:lang w:val="en-US" w:eastAsia="zh-CN"/>
        </w:rPr>
        <w:t xml:space="preserve">、邱俊豪 </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p>
    <w:p>
      <w:pPr>
        <w:pStyle w:val="3"/>
        <w:tabs>
          <w:tab w:val="left" w:pos="0"/>
          <w:tab w:val="left" w:pos="840"/>
          <w:tab w:val="left" w:pos="955"/>
        </w:tabs>
        <w:spacing w:line="360" w:lineRule="auto"/>
        <w:ind w:left="0" w:leftChars="0" w:firstLine="0" w:firstLineChars="0"/>
        <w:jc w:val="right"/>
        <w:rPr>
          <w:rFonts w:hint="eastAsia" w:ascii="仿宋" w:hAnsi="仿宋" w:eastAsia="仿宋" w:cs="仿宋"/>
          <w:highlight w:val="none"/>
        </w:rPr>
      </w:pPr>
      <w:r>
        <w:rPr>
          <w:rFonts w:hint="eastAsia" w:ascii="仿宋" w:hAnsi="仿宋" w:eastAsia="仿宋" w:cs="仿宋"/>
          <w:highlight w:val="none"/>
        </w:rPr>
        <w:t>发布人：山东华仁永旺招标有限公司</w:t>
      </w:r>
    </w:p>
    <w:p>
      <w:pPr>
        <w:pStyle w:val="3"/>
        <w:tabs>
          <w:tab w:val="left" w:pos="0"/>
          <w:tab w:val="left" w:pos="840"/>
          <w:tab w:val="left" w:pos="955"/>
        </w:tabs>
        <w:spacing w:line="360" w:lineRule="auto"/>
        <w:ind w:left="0" w:leftChars="0" w:firstLine="0" w:firstLineChars="0"/>
        <w:jc w:val="right"/>
        <w:rPr>
          <w:rFonts w:hint="eastAsia" w:ascii="仿宋" w:hAnsi="仿宋" w:eastAsia="仿宋" w:cs="仿宋"/>
          <w:highlight w:val="none"/>
          <w:lang w:eastAsia="zh-CN"/>
        </w:rPr>
      </w:pPr>
      <w:r>
        <w:rPr>
          <w:rFonts w:hint="eastAsia" w:ascii="仿宋" w:hAnsi="仿宋" w:eastAsia="仿宋" w:cs="仿宋"/>
          <w:highlight w:val="none"/>
        </w:rPr>
        <w:t>发布时间：</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11</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8</w:t>
      </w:r>
      <w:r>
        <w:rPr>
          <w:rFonts w:hint="eastAsia" w:ascii="仿宋" w:hAnsi="仿宋" w:eastAsia="仿宋" w:cs="仿宋"/>
          <w:highlight w:val="none"/>
          <w:lang w:eastAsia="zh-CN"/>
        </w:rPr>
        <w:t>日</w:t>
      </w:r>
    </w:p>
    <w:p>
      <w:pPr>
        <w:pStyle w:val="3"/>
        <w:tabs>
          <w:tab w:val="left" w:pos="0"/>
          <w:tab w:val="left" w:pos="840"/>
          <w:tab w:val="left" w:pos="955"/>
        </w:tabs>
        <w:spacing w:line="360" w:lineRule="auto"/>
        <w:ind w:left="0" w:leftChars="0" w:firstLine="480" w:firstLineChars="200"/>
        <w:jc w:val="center"/>
        <w:outlineLvl w:val="0"/>
        <w:rPr>
          <w:rFonts w:hint="eastAsia" w:ascii="仿宋" w:hAnsi="仿宋" w:eastAsia="仿宋" w:cs="仿宋"/>
          <w:b/>
          <w:sz w:val="32"/>
          <w:szCs w:val="32"/>
          <w:highlight w:val="none"/>
        </w:rPr>
      </w:pPr>
      <w:r>
        <w:rPr>
          <w:rFonts w:hint="eastAsia" w:ascii="仿宋" w:hAnsi="仿宋" w:eastAsia="仿宋" w:cs="仿宋"/>
          <w:highlight w:val="none"/>
        </w:rPr>
        <w:br w:type="page"/>
      </w:r>
      <w:bookmarkStart w:id="1" w:name="_Toc6924"/>
      <w:r>
        <w:rPr>
          <w:rFonts w:hint="eastAsia" w:ascii="仿宋" w:hAnsi="仿宋" w:eastAsia="仿宋" w:cs="仿宋"/>
          <w:b/>
          <w:sz w:val="32"/>
          <w:szCs w:val="32"/>
          <w:highlight w:val="none"/>
        </w:rPr>
        <w:t xml:space="preserve">第二章 </w:t>
      </w:r>
      <w:r>
        <w:rPr>
          <w:rFonts w:hint="eastAsia" w:ascii="仿宋" w:hAnsi="仿宋" w:eastAsia="仿宋" w:cs="仿宋"/>
          <w:b/>
          <w:sz w:val="32"/>
          <w:szCs w:val="32"/>
          <w:highlight w:val="none"/>
          <w:lang w:eastAsia="zh-CN"/>
        </w:rPr>
        <w:t>供应商</w:t>
      </w:r>
      <w:r>
        <w:rPr>
          <w:rFonts w:hint="eastAsia" w:ascii="仿宋" w:hAnsi="仿宋" w:eastAsia="仿宋" w:cs="仿宋"/>
          <w:b/>
          <w:sz w:val="32"/>
          <w:szCs w:val="32"/>
          <w:highlight w:val="none"/>
        </w:rPr>
        <w:t>须知</w:t>
      </w:r>
      <w:bookmarkEnd w:id="1"/>
    </w:p>
    <w:p>
      <w:pPr>
        <w:pStyle w:val="19"/>
        <w:spacing w:line="360" w:lineRule="auto"/>
        <w:ind w:left="0" w:leftChars="0" w:firstLine="562" w:firstLineChars="200"/>
        <w:jc w:val="left"/>
        <w:outlineLvl w:val="1"/>
        <w:rPr>
          <w:rFonts w:hint="eastAsia" w:ascii="仿宋" w:hAnsi="仿宋" w:eastAsia="仿宋" w:cs="仿宋"/>
          <w:b/>
          <w:sz w:val="28"/>
          <w:highlight w:val="none"/>
        </w:rPr>
      </w:pPr>
      <w:bookmarkStart w:id="2" w:name="_Toc23354"/>
      <w:r>
        <w:rPr>
          <w:rFonts w:hint="eastAsia" w:ascii="仿宋" w:hAnsi="仿宋" w:eastAsia="仿宋" w:cs="仿宋"/>
          <w:b/>
          <w:sz w:val="28"/>
          <w:highlight w:val="none"/>
        </w:rPr>
        <w:t>一、说明</w:t>
      </w:r>
      <w:bookmarkEnd w:id="2"/>
    </w:p>
    <w:p>
      <w:pPr>
        <w:pStyle w:val="19"/>
        <w:tabs>
          <w:tab w:val="left" w:pos="573"/>
          <w:tab w:val="left" w:pos="1146"/>
        </w:tabs>
        <w:spacing w:line="360" w:lineRule="auto"/>
        <w:ind w:left="0" w:leftChars="0" w:firstLine="482" w:firstLineChars="200"/>
        <w:jc w:val="left"/>
        <w:outlineLvl w:val="2"/>
        <w:rPr>
          <w:rFonts w:hint="eastAsia" w:ascii="仿宋" w:hAnsi="仿宋" w:eastAsia="仿宋" w:cs="仿宋"/>
          <w:b/>
          <w:bCs/>
          <w:sz w:val="24"/>
          <w:highlight w:val="none"/>
          <w:lang w:eastAsia="zh-CN"/>
        </w:rPr>
      </w:pPr>
      <w:bookmarkStart w:id="3" w:name="_Toc3296"/>
      <w:r>
        <w:rPr>
          <w:rFonts w:hint="eastAsia" w:ascii="仿宋" w:hAnsi="仿宋" w:eastAsia="仿宋" w:cs="仿宋"/>
          <w:b/>
          <w:bCs/>
          <w:sz w:val="24"/>
          <w:highlight w:val="none"/>
        </w:rPr>
        <w:t>1.</w:t>
      </w:r>
      <w:r>
        <w:rPr>
          <w:rFonts w:hint="eastAsia" w:ascii="仿宋" w:hAnsi="仿宋" w:eastAsia="仿宋" w:cs="仿宋"/>
          <w:b/>
          <w:bCs/>
          <w:sz w:val="24"/>
          <w:highlight w:val="none"/>
          <w:lang w:eastAsia="zh-CN"/>
        </w:rPr>
        <w:t>采购人</w:t>
      </w:r>
      <w:r>
        <w:rPr>
          <w:rFonts w:hint="eastAsia" w:ascii="仿宋" w:hAnsi="仿宋" w:eastAsia="仿宋" w:cs="仿宋"/>
          <w:b/>
          <w:bCs/>
          <w:sz w:val="24"/>
          <w:highlight w:val="none"/>
        </w:rPr>
        <w:t>与</w:t>
      </w:r>
      <w:r>
        <w:rPr>
          <w:rFonts w:hint="eastAsia" w:ascii="仿宋" w:hAnsi="仿宋" w:eastAsia="仿宋" w:cs="仿宋"/>
          <w:b/>
          <w:bCs/>
          <w:sz w:val="24"/>
          <w:highlight w:val="none"/>
          <w:lang w:eastAsia="zh-CN"/>
        </w:rPr>
        <w:t>采购代理机构</w:t>
      </w:r>
      <w:bookmarkEnd w:id="3"/>
    </w:p>
    <w:p>
      <w:pPr>
        <w:pStyle w:val="14"/>
        <w:tabs>
          <w:tab w:val="left" w:pos="1146"/>
        </w:tabs>
        <w:spacing w:line="360" w:lineRule="auto"/>
        <w:ind w:left="0" w:leftChars="0" w:firstLine="480" w:firstLineChars="200"/>
        <w:jc w:val="left"/>
        <w:rPr>
          <w:rFonts w:hint="eastAsia" w:ascii="仿宋" w:hAnsi="仿宋" w:eastAsia="仿宋" w:cs="仿宋"/>
          <w:sz w:val="24"/>
          <w:highlight w:val="none"/>
          <w:lang w:eastAsia="zh-CN"/>
        </w:rPr>
      </w:pPr>
      <w:r>
        <w:rPr>
          <w:rFonts w:hint="eastAsia" w:ascii="仿宋" w:hAnsi="仿宋" w:eastAsia="仿宋" w:cs="仿宋"/>
          <w:sz w:val="24"/>
          <w:highlight w:val="none"/>
        </w:rPr>
        <w:t>1.1</w:t>
      </w:r>
      <w:r>
        <w:rPr>
          <w:rFonts w:hint="eastAsia" w:ascii="仿宋" w:hAnsi="仿宋" w:eastAsia="仿宋" w:cs="仿宋"/>
          <w:b/>
          <w:bCs/>
          <w:sz w:val="24"/>
          <w:highlight w:val="none"/>
          <w:lang w:eastAsia="zh-CN"/>
        </w:rPr>
        <w:t>采购人</w:t>
      </w:r>
      <w:r>
        <w:rPr>
          <w:rFonts w:hint="eastAsia" w:ascii="仿宋" w:hAnsi="仿宋" w:eastAsia="仿宋" w:cs="仿宋"/>
          <w:sz w:val="24"/>
          <w:highlight w:val="none"/>
        </w:rPr>
        <w:t>系指</w:t>
      </w:r>
      <w:r>
        <w:rPr>
          <w:rFonts w:hint="eastAsia" w:ascii="仿宋" w:hAnsi="仿宋" w:eastAsia="仿宋" w:cs="仿宋"/>
          <w:sz w:val="24"/>
          <w:highlight w:val="none"/>
          <w:lang w:eastAsia="zh-CN"/>
        </w:rPr>
        <w:t>山东第一医科大学</w:t>
      </w:r>
      <w:r>
        <w:rPr>
          <w:rFonts w:hint="eastAsia" w:ascii="仿宋" w:hAnsi="仿宋" w:eastAsia="仿宋" w:cs="仿宋"/>
          <w:sz w:val="24"/>
          <w:highlight w:val="none"/>
          <w:lang w:val="en-US" w:eastAsia="zh-CN"/>
        </w:rPr>
        <w:t xml:space="preserve"> </w:t>
      </w:r>
    </w:p>
    <w:p>
      <w:pPr>
        <w:pStyle w:val="14"/>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w:t>
      </w:r>
      <w:r>
        <w:rPr>
          <w:rFonts w:hint="eastAsia" w:ascii="仿宋" w:hAnsi="仿宋" w:eastAsia="仿宋" w:cs="仿宋"/>
          <w:b/>
          <w:bCs/>
          <w:sz w:val="24"/>
          <w:highlight w:val="none"/>
          <w:lang w:eastAsia="zh-CN"/>
        </w:rPr>
        <w:t>采购代理机构</w:t>
      </w:r>
      <w:r>
        <w:rPr>
          <w:rFonts w:hint="eastAsia" w:ascii="仿宋" w:hAnsi="仿宋" w:eastAsia="仿宋" w:cs="仿宋"/>
          <w:sz w:val="24"/>
          <w:highlight w:val="none"/>
        </w:rPr>
        <w:t>系指山东华仁永旺招标有限公司</w:t>
      </w:r>
    </w:p>
    <w:p>
      <w:pPr>
        <w:pStyle w:val="19"/>
        <w:tabs>
          <w:tab w:val="left" w:pos="573"/>
          <w:tab w:val="left" w:pos="1146"/>
        </w:tabs>
        <w:spacing w:line="360" w:lineRule="auto"/>
        <w:ind w:left="0" w:leftChars="0" w:firstLine="482" w:firstLineChars="200"/>
        <w:jc w:val="left"/>
        <w:outlineLvl w:val="2"/>
        <w:rPr>
          <w:rFonts w:hint="eastAsia" w:ascii="仿宋" w:hAnsi="仿宋" w:eastAsia="仿宋" w:cs="仿宋"/>
          <w:b/>
          <w:bCs/>
          <w:sz w:val="24"/>
          <w:highlight w:val="none"/>
          <w:lang w:eastAsia="zh-CN"/>
        </w:rPr>
      </w:pPr>
      <w:bookmarkStart w:id="4" w:name="_Toc30984"/>
      <w:r>
        <w:rPr>
          <w:rFonts w:hint="eastAsia" w:ascii="仿宋" w:hAnsi="仿宋" w:eastAsia="仿宋" w:cs="仿宋"/>
          <w:b/>
          <w:bCs/>
          <w:sz w:val="24"/>
          <w:highlight w:val="none"/>
        </w:rPr>
        <w:t>2.合格</w:t>
      </w:r>
      <w:r>
        <w:rPr>
          <w:rFonts w:hint="eastAsia" w:ascii="仿宋" w:hAnsi="仿宋" w:eastAsia="仿宋" w:cs="仿宋"/>
          <w:b/>
          <w:bCs/>
          <w:sz w:val="24"/>
          <w:highlight w:val="none"/>
          <w:lang w:eastAsia="zh-CN"/>
        </w:rPr>
        <w:t>供应商</w:t>
      </w:r>
      <w:bookmarkEnd w:id="4"/>
    </w:p>
    <w:p>
      <w:pPr>
        <w:pStyle w:val="19"/>
        <w:tabs>
          <w:tab w:val="left" w:pos="1146"/>
        </w:tabs>
        <w:spacing w:line="360" w:lineRule="auto"/>
        <w:ind w:left="0" w:leftChars="0" w:firstLine="480" w:firstLineChars="200"/>
        <w:jc w:val="left"/>
        <w:rPr>
          <w:rFonts w:hint="eastAsia" w:ascii="仿宋" w:hAnsi="仿宋" w:eastAsia="仿宋" w:cs="仿宋"/>
          <w:bCs/>
          <w:sz w:val="24"/>
          <w:highlight w:val="none"/>
        </w:rPr>
      </w:pPr>
      <w:r>
        <w:rPr>
          <w:rFonts w:hint="eastAsia" w:ascii="仿宋" w:hAnsi="仿宋" w:eastAsia="仿宋" w:cs="仿宋"/>
          <w:sz w:val="24"/>
          <w:highlight w:val="none"/>
        </w:rPr>
        <w:t>2.1</w:t>
      </w:r>
      <w:r>
        <w:rPr>
          <w:rFonts w:hint="eastAsia" w:ascii="仿宋" w:hAnsi="仿宋" w:eastAsia="仿宋" w:cs="仿宋"/>
          <w:bCs/>
          <w:sz w:val="24"/>
          <w:highlight w:val="none"/>
        </w:rPr>
        <w:t>在中国境内注册，具有独立法人资格并具备本</w:t>
      </w:r>
      <w:r>
        <w:rPr>
          <w:rFonts w:hint="eastAsia" w:ascii="仿宋" w:hAnsi="仿宋" w:eastAsia="仿宋" w:cs="仿宋"/>
          <w:bCs/>
          <w:sz w:val="24"/>
          <w:highlight w:val="none"/>
          <w:lang w:eastAsia="zh-CN"/>
        </w:rPr>
        <w:t>采购文件</w:t>
      </w:r>
      <w:r>
        <w:rPr>
          <w:rFonts w:hint="eastAsia" w:ascii="仿宋" w:hAnsi="仿宋" w:eastAsia="仿宋" w:cs="仿宋"/>
          <w:bCs/>
          <w:sz w:val="24"/>
          <w:highlight w:val="none"/>
        </w:rPr>
        <w:t>要求的提供货物服务能力，符合、承认并承诺履行本文件各项规定的供应商。</w:t>
      </w:r>
    </w:p>
    <w:p>
      <w:pPr>
        <w:pStyle w:val="19"/>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2.2提供的资格、资质文件和业绩情况均真实有效，具有良好的商业信誉和健全的财务会计制度；</w:t>
      </w:r>
    </w:p>
    <w:p>
      <w:pPr>
        <w:pStyle w:val="19"/>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2.3具有财务状况报告的相关材料；</w:t>
      </w:r>
    </w:p>
    <w:p>
      <w:pPr>
        <w:pStyle w:val="19"/>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2.4具有依法缴纳税收和社会保障资金的良好纪录；</w:t>
      </w:r>
    </w:p>
    <w:p>
      <w:pPr>
        <w:pStyle w:val="19"/>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2.5具备履行合同所必需的设备和专业技术能力；</w:t>
      </w:r>
    </w:p>
    <w:p>
      <w:pPr>
        <w:pStyle w:val="19"/>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2.6具有参加政府采购活动前3年内在经营活动中没有重大违法记录；</w:t>
      </w:r>
    </w:p>
    <w:p>
      <w:pPr>
        <w:pStyle w:val="19"/>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2.7向</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购买</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并登记备案；</w:t>
      </w:r>
    </w:p>
    <w:p>
      <w:pPr>
        <w:pStyle w:val="19"/>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2.8遵守《中华人民共和国政府采购法》和《中华人民共和国政府采购法实施条例》及相关法律、法规和规章。</w:t>
      </w:r>
    </w:p>
    <w:p>
      <w:pPr>
        <w:pStyle w:val="14"/>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2.9本项目不接受有严重违法失信行为的供应商投标；</w:t>
      </w:r>
    </w:p>
    <w:p>
      <w:pPr>
        <w:pStyle w:val="14"/>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2.10</w:t>
      </w:r>
      <w:r>
        <w:rPr>
          <w:rFonts w:hint="eastAsia" w:ascii="仿宋" w:hAnsi="仿宋" w:eastAsia="仿宋" w:cs="仿宋"/>
          <w:bCs/>
          <w:sz w:val="24"/>
          <w:highlight w:val="none"/>
        </w:rPr>
        <w:t>具备《中华人民共和国政府采购法》第二十二条规定的条件；</w:t>
      </w:r>
    </w:p>
    <w:p>
      <w:pPr>
        <w:pStyle w:val="19"/>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2.11符合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中规定的其他实质性要求。</w:t>
      </w:r>
    </w:p>
    <w:p>
      <w:pPr>
        <w:pStyle w:val="19"/>
        <w:tabs>
          <w:tab w:val="left" w:pos="573"/>
          <w:tab w:val="left" w:pos="1146"/>
        </w:tabs>
        <w:spacing w:line="360" w:lineRule="auto"/>
        <w:ind w:left="0" w:leftChars="0" w:firstLine="482" w:firstLineChars="200"/>
        <w:jc w:val="left"/>
        <w:outlineLvl w:val="2"/>
        <w:rPr>
          <w:rFonts w:hint="eastAsia" w:ascii="仿宋" w:hAnsi="仿宋" w:eastAsia="仿宋" w:cs="仿宋"/>
          <w:b/>
          <w:bCs/>
          <w:sz w:val="24"/>
          <w:highlight w:val="none"/>
        </w:rPr>
      </w:pPr>
      <w:bookmarkStart w:id="5" w:name="_Toc27190"/>
      <w:r>
        <w:rPr>
          <w:rFonts w:hint="eastAsia" w:ascii="仿宋" w:hAnsi="仿宋" w:eastAsia="仿宋" w:cs="仿宋"/>
          <w:b/>
          <w:bCs/>
          <w:sz w:val="24"/>
          <w:highlight w:val="none"/>
        </w:rPr>
        <w:t>3.服务定义</w:t>
      </w:r>
      <w:bookmarkEnd w:id="5"/>
    </w:p>
    <w:p>
      <w:pPr>
        <w:pStyle w:val="19"/>
        <w:tabs>
          <w:tab w:val="left" w:pos="573"/>
          <w:tab w:val="left" w:pos="1146"/>
        </w:tabs>
        <w:spacing w:line="360" w:lineRule="auto"/>
        <w:ind w:left="0" w:leftChars="0" w:firstLine="480" w:firstLineChars="200"/>
        <w:jc w:val="left"/>
        <w:rPr>
          <w:rFonts w:hint="eastAsia" w:ascii="仿宋" w:hAnsi="仿宋" w:eastAsia="仿宋" w:cs="仿宋"/>
          <w:bCs/>
          <w:sz w:val="24"/>
          <w:highlight w:val="none"/>
        </w:rPr>
      </w:pPr>
      <w:r>
        <w:rPr>
          <w:rFonts w:hint="eastAsia" w:ascii="仿宋" w:hAnsi="仿宋" w:eastAsia="仿宋" w:cs="仿宋"/>
          <w:bCs/>
          <w:sz w:val="24"/>
          <w:highlight w:val="none"/>
        </w:rPr>
        <w:t>是指供应商按本文件“第三章 项目说明”部分的要求，完成规定的本次采购内容须承担的各项义务。</w:t>
      </w:r>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6" w:name="_Toc2800"/>
      <w:r>
        <w:rPr>
          <w:rFonts w:hint="eastAsia" w:ascii="仿宋" w:hAnsi="仿宋" w:eastAsia="仿宋" w:cs="仿宋"/>
          <w:b/>
          <w:sz w:val="24"/>
          <w:highlight w:val="none"/>
        </w:rPr>
        <w:t>4.投标费用</w:t>
      </w:r>
      <w:bookmarkEnd w:id="6"/>
    </w:p>
    <w:p>
      <w:pPr>
        <w:pStyle w:val="18"/>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无论投标过程中的方法和结果如何，</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自行承担所有与参加投标有关的费用。</w:t>
      </w:r>
    </w:p>
    <w:p>
      <w:pPr>
        <w:pStyle w:val="19"/>
        <w:spacing w:line="360" w:lineRule="auto"/>
        <w:ind w:left="0" w:leftChars="0" w:firstLine="562" w:firstLineChars="200"/>
        <w:jc w:val="left"/>
        <w:outlineLvl w:val="1"/>
        <w:rPr>
          <w:rFonts w:hint="eastAsia" w:ascii="仿宋" w:hAnsi="仿宋" w:eastAsia="仿宋" w:cs="仿宋"/>
          <w:b/>
          <w:sz w:val="28"/>
          <w:highlight w:val="none"/>
          <w:lang w:eastAsia="zh-CN"/>
        </w:rPr>
      </w:pPr>
      <w:bookmarkStart w:id="7" w:name="_Toc19552"/>
      <w:r>
        <w:rPr>
          <w:rFonts w:hint="eastAsia" w:ascii="仿宋" w:hAnsi="仿宋" w:eastAsia="仿宋" w:cs="仿宋"/>
          <w:b/>
          <w:sz w:val="28"/>
          <w:highlight w:val="none"/>
        </w:rPr>
        <w:t>二、</w:t>
      </w:r>
      <w:r>
        <w:rPr>
          <w:rFonts w:hint="eastAsia" w:ascii="仿宋" w:hAnsi="仿宋" w:eastAsia="仿宋" w:cs="仿宋"/>
          <w:b/>
          <w:sz w:val="28"/>
          <w:highlight w:val="none"/>
          <w:lang w:eastAsia="zh-CN"/>
        </w:rPr>
        <w:t>采购文件</w:t>
      </w:r>
      <w:bookmarkEnd w:id="7"/>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8" w:name="_Toc23521"/>
      <w:r>
        <w:rPr>
          <w:rFonts w:hint="eastAsia" w:ascii="仿宋" w:hAnsi="仿宋" w:eastAsia="仿宋" w:cs="仿宋"/>
          <w:b/>
          <w:sz w:val="24"/>
          <w:highlight w:val="none"/>
        </w:rPr>
        <w:t>5.</w:t>
      </w:r>
      <w:r>
        <w:rPr>
          <w:rFonts w:hint="eastAsia" w:ascii="仿宋" w:hAnsi="仿宋" w:eastAsia="仿宋" w:cs="仿宋"/>
          <w:b/>
          <w:sz w:val="24"/>
          <w:highlight w:val="none"/>
          <w:lang w:eastAsia="zh-CN"/>
        </w:rPr>
        <w:t>采购文件</w:t>
      </w:r>
      <w:r>
        <w:rPr>
          <w:rFonts w:hint="eastAsia" w:ascii="仿宋" w:hAnsi="仿宋" w:eastAsia="仿宋" w:cs="仿宋"/>
          <w:b/>
          <w:sz w:val="24"/>
          <w:highlight w:val="none"/>
        </w:rPr>
        <w:t>组成</w:t>
      </w:r>
      <w:bookmarkEnd w:id="8"/>
    </w:p>
    <w:p>
      <w:pPr>
        <w:pStyle w:val="14"/>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由</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目录所列内容组成。</w:t>
      </w:r>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9" w:name="_Toc13790"/>
      <w:r>
        <w:rPr>
          <w:rFonts w:hint="eastAsia" w:ascii="仿宋" w:hAnsi="仿宋" w:eastAsia="仿宋" w:cs="仿宋"/>
          <w:b/>
          <w:sz w:val="24"/>
          <w:highlight w:val="none"/>
        </w:rPr>
        <w:t>6.</w:t>
      </w:r>
      <w:r>
        <w:rPr>
          <w:rFonts w:hint="eastAsia" w:ascii="仿宋" w:hAnsi="仿宋" w:eastAsia="仿宋" w:cs="仿宋"/>
          <w:b/>
          <w:sz w:val="24"/>
          <w:highlight w:val="none"/>
          <w:lang w:eastAsia="zh-CN"/>
        </w:rPr>
        <w:t>采购文件</w:t>
      </w:r>
      <w:r>
        <w:rPr>
          <w:rFonts w:hint="eastAsia" w:ascii="仿宋" w:hAnsi="仿宋" w:eastAsia="仿宋" w:cs="仿宋"/>
          <w:b/>
          <w:sz w:val="24"/>
          <w:highlight w:val="none"/>
        </w:rPr>
        <w:t>澄清</w:t>
      </w:r>
      <w:bookmarkEnd w:id="9"/>
    </w:p>
    <w:p>
      <w:pPr>
        <w:pStyle w:val="14"/>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提出的澄清要求，应以书面形式（包括信函、电报或传真）通知到</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。对在</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截止时间3日前收到的</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的澄清要求，</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将视情况确定将不标明问题来源的书面答复发给所有购买</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0" w:name="_Toc17048"/>
      <w:r>
        <w:rPr>
          <w:rFonts w:hint="eastAsia" w:ascii="仿宋" w:hAnsi="仿宋" w:eastAsia="仿宋" w:cs="仿宋"/>
          <w:b/>
          <w:sz w:val="24"/>
          <w:highlight w:val="none"/>
        </w:rPr>
        <w:t>7.</w:t>
      </w:r>
      <w:r>
        <w:rPr>
          <w:rFonts w:hint="eastAsia" w:ascii="仿宋" w:hAnsi="仿宋" w:eastAsia="仿宋" w:cs="仿宋"/>
          <w:b/>
          <w:sz w:val="24"/>
          <w:highlight w:val="none"/>
          <w:lang w:eastAsia="zh-CN"/>
        </w:rPr>
        <w:t>采购文件</w:t>
      </w:r>
      <w:r>
        <w:rPr>
          <w:rFonts w:hint="eastAsia" w:ascii="仿宋" w:hAnsi="仿宋" w:eastAsia="仿宋" w:cs="仿宋"/>
          <w:b/>
          <w:sz w:val="24"/>
          <w:highlight w:val="none"/>
        </w:rPr>
        <w:t>修改</w:t>
      </w:r>
      <w:bookmarkEnd w:id="10"/>
    </w:p>
    <w:p>
      <w:pPr>
        <w:pStyle w:val="14"/>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7.1</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必须修改的内容，须在</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截止时间至少3日前，以书面形式通知已购买</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的所有</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。补充文件作为</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的组成部分，对所有</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具有约束力。</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7.2为使</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有足够的时间按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的要求修改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可酌情推迟投标的截止与开标时间，并将此变更书面通知</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p>
    <w:p>
      <w:pPr>
        <w:pStyle w:val="19"/>
        <w:spacing w:line="360" w:lineRule="auto"/>
        <w:ind w:left="0" w:leftChars="0" w:firstLine="562" w:firstLineChars="200"/>
        <w:jc w:val="left"/>
        <w:outlineLvl w:val="1"/>
        <w:rPr>
          <w:rFonts w:hint="eastAsia" w:ascii="仿宋" w:hAnsi="仿宋" w:eastAsia="仿宋" w:cs="仿宋"/>
          <w:b/>
          <w:sz w:val="28"/>
          <w:highlight w:val="none"/>
        </w:rPr>
      </w:pPr>
      <w:bookmarkStart w:id="11" w:name="_Toc28612"/>
      <w:r>
        <w:rPr>
          <w:rFonts w:hint="eastAsia" w:ascii="仿宋" w:hAnsi="仿宋" w:eastAsia="仿宋" w:cs="仿宋"/>
          <w:b/>
          <w:sz w:val="28"/>
          <w:highlight w:val="none"/>
        </w:rPr>
        <w:t>三、</w:t>
      </w:r>
      <w:r>
        <w:rPr>
          <w:rFonts w:hint="eastAsia" w:ascii="仿宋" w:hAnsi="仿宋" w:eastAsia="仿宋" w:cs="仿宋"/>
          <w:b/>
          <w:sz w:val="28"/>
          <w:highlight w:val="none"/>
          <w:lang w:eastAsia="zh-CN"/>
        </w:rPr>
        <w:t>响应文件</w:t>
      </w:r>
      <w:r>
        <w:rPr>
          <w:rFonts w:hint="eastAsia" w:ascii="仿宋" w:hAnsi="仿宋" w:eastAsia="仿宋" w:cs="仿宋"/>
          <w:b/>
          <w:sz w:val="28"/>
          <w:highlight w:val="none"/>
        </w:rPr>
        <w:t>编写</w:t>
      </w:r>
      <w:bookmarkEnd w:id="11"/>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2" w:name="_Toc17379"/>
      <w:r>
        <w:rPr>
          <w:rFonts w:hint="eastAsia" w:ascii="仿宋" w:hAnsi="仿宋" w:eastAsia="仿宋" w:cs="仿宋"/>
          <w:b/>
          <w:sz w:val="24"/>
          <w:highlight w:val="none"/>
        </w:rPr>
        <w:t>8.投标语言及计量单位</w:t>
      </w:r>
      <w:bookmarkEnd w:id="12"/>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和</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就招投标交换的文件和来往信函使用中文。</w:t>
      </w:r>
    </w:p>
    <w:p>
      <w:pPr>
        <w:pStyle w:val="24"/>
        <w:spacing w:line="360" w:lineRule="auto"/>
        <w:ind w:firstLine="480"/>
        <w:jc w:val="left"/>
        <w:rPr>
          <w:rFonts w:hint="eastAsia" w:ascii="仿宋" w:hAnsi="仿宋" w:eastAsia="仿宋" w:cs="仿宋"/>
          <w:highlight w:val="none"/>
        </w:rPr>
      </w:pPr>
      <w:r>
        <w:rPr>
          <w:rFonts w:hint="eastAsia" w:ascii="仿宋" w:hAnsi="仿宋" w:eastAsia="仿宋" w:cs="仿宋"/>
          <w:highlight w:val="none"/>
        </w:rPr>
        <w:t>8.2除</w:t>
      </w:r>
      <w:r>
        <w:rPr>
          <w:rFonts w:hint="eastAsia" w:ascii="仿宋" w:hAnsi="仿宋" w:eastAsia="仿宋" w:cs="仿宋"/>
          <w:highlight w:val="none"/>
          <w:lang w:eastAsia="zh-CN"/>
        </w:rPr>
        <w:t>采购文件</w:t>
      </w:r>
      <w:r>
        <w:rPr>
          <w:rFonts w:hint="eastAsia" w:ascii="仿宋" w:hAnsi="仿宋" w:eastAsia="仿宋" w:cs="仿宋"/>
          <w:highlight w:val="none"/>
        </w:rPr>
        <w:t>的技术规格中另有规定外，</w:t>
      </w:r>
      <w:r>
        <w:rPr>
          <w:rFonts w:hint="eastAsia" w:ascii="仿宋" w:hAnsi="仿宋" w:eastAsia="仿宋" w:cs="仿宋"/>
          <w:highlight w:val="none"/>
          <w:lang w:eastAsia="zh-CN"/>
        </w:rPr>
        <w:t>响应文件</w:t>
      </w:r>
      <w:r>
        <w:rPr>
          <w:rFonts w:hint="eastAsia" w:ascii="仿宋" w:hAnsi="仿宋" w:eastAsia="仿宋" w:cs="仿宋"/>
          <w:highlight w:val="none"/>
        </w:rPr>
        <w:t>中所使用的计量单位应使用中华人民共和国法定计量单位。</w:t>
      </w:r>
    </w:p>
    <w:p>
      <w:pPr>
        <w:pStyle w:val="24"/>
        <w:spacing w:line="360" w:lineRule="auto"/>
        <w:ind w:firstLine="480"/>
        <w:jc w:val="left"/>
        <w:rPr>
          <w:rFonts w:hint="eastAsia" w:ascii="仿宋" w:hAnsi="仿宋" w:eastAsia="仿宋" w:cs="仿宋"/>
          <w:highlight w:val="none"/>
        </w:rPr>
      </w:pPr>
      <w:r>
        <w:rPr>
          <w:rFonts w:hint="eastAsia" w:ascii="仿宋" w:hAnsi="仿宋" w:eastAsia="仿宋" w:cs="仿宋"/>
          <w:highlight w:val="none"/>
        </w:rPr>
        <w:t>8.3原版为外文的证书类文件，以及由外国人做出的本人签名、外国公司的名称或外国印章等可以是外文，但</w:t>
      </w:r>
      <w:r>
        <w:rPr>
          <w:rFonts w:hint="eastAsia" w:ascii="仿宋" w:hAnsi="仿宋" w:eastAsia="仿宋" w:cs="仿宋"/>
          <w:highlight w:val="none"/>
          <w:lang w:eastAsia="zh-CN"/>
        </w:rPr>
        <w:t>采购代理机构</w:t>
      </w:r>
      <w:r>
        <w:rPr>
          <w:rFonts w:hint="eastAsia" w:ascii="仿宋" w:hAnsi="仿宋" w:eastAsia="仿宋" w:cs="仿宋"/>
          <w:highlight w:val="none"/>
        </w:rPr>
        <w:t>可以要求</w:t>
      </w:r>
      <w:r>
        <w:rPr>
          <w:rFonts w:hint="eastAsia" w:ascii="仿宋" w:hAnsi="仿宋" w:eastAsia="仿宋" w:cs="仿宋"/>
          <w:highlight w:val="none"/>
          <w:lang w:eastAsia="zh-CN"/>
        </w:rPr>
        <w:t>供应商</w:t>
      </w:r>
      <w:r>
        <w:rPr>
          <w:rFonts w:hint="eastAsia" w:ascii="仿宋" w:hAnsi="仿宋" w:eastAsia="仿宋" w:cs="仿宋"/>
          <w:highlight w:val="none"/>
        </w:rPr>
        <w:t>提供翻译文件，必要时可以要求提供附有公证书的翻译文件。</w:t>
      </w:r>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3" w:name="_Toc29583"/>
      <w:r>
        <w:rPr>
          <w:rFonts w:hint="eastAsia" w:ascii="仿宋" w:hAnsi="仿宋" w:eastAsia="仿宋" w:cs="仿宋"/>
          <w:b/>
          <w:sz w:val="24"/>
          <w:highlight w:val="none"/>
        </w:rPr>
        <w:t>9.</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组成</w:t>
      </w:r>
      <w:bookmarkEnd w:id="13"/>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9.1法定代表人或授权代理人签署的投标函（见附件）</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9.2资格、资质证明文件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（1）营业执照副本、税务登记证副本、组织机构代码证（加盖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公章）；</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kern w:val="0"/>
          <w:sz w:val="24"/>
          <w:highlight w:val="none"/>
        </w:rPr>
        <w:t>法定代表人身份证及法定代表人资格证明书（法人到场的）或法人授权委托书及委托代理人身份证（委托代理人到场的）</w:t>
      </w:r>
      <w:r>
        <w:rPr>
          <w:rFonts w:hint="eastAsia" w:ascii="仿宋" w:hAnsi="仿宋" w:eastAsia="仿宋" w:cs="仿宋"/>
          <w:sz w:val="24"/>
          <w:highlight w:val="none"/>
        </w:rPr>
        <w:t>（见附件）；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（3）财务状况报告的相关材料；</w:t>
      </w:r>
      <w:r>
        <w:rPr>
          <w:rFonts w:hint="eastAsia" w:ascii="仿宋" w:hAnsi="仿宋" w:eastAsia="仿宋" w:cs="仿宋"/>
          <w:kern w:val="0"/>
          <w:sz w:val="24"/>
          <w:highlight w:val="none"/>
        </w:rPr>
        <w:t>是指上一年度的财务报告或财务报表</w:t>
      </w:r>
      <w:r>
        <w:rPr>
          <w:rFonts w:hint="eastAsia" w:ascii="仿宋" w:hAnsi="仿宋" w:eastAsia="仿宋" w:cs="仿宋"/>
          <w:sz w:val="24"/>
          <w:highlight w:val="none"/>
        </w:rPr>
        <w:t>；</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（4）依法缴纳税收和社会保障资金的相关材料</w:t>
      </w:r>
      <w:r>
        <w:rPr>
          <w:rFonts w:hint="eastAsia" w:ascii="仿宋" w:hAnsi="仿宋" w:eastAsia="仿宋" w:cs="仿宋"/>
          <w:sz w:val="24"/>
          <w:highlight w:val="none"/>
          <w:lang w:eastAsia="zh-CN"/>
        </w:rPr>
        <w:t>，应提供开标前</w:t>
      </w:r>
      <w:r>
        <w:rPr>
          <w:rFonts w:hint="eastAsia" w:ascii="仿宋" w:hAnsi="仿宋" w:eastAsia="仿宋" w:cs="仿宋"/>
          <w:sz w:val="24"/>
          <w:highlight w:val="none"/>
          <w:lang w:val="en-US" w:eastAsia="zh-CN"/>
        </w:rPr>
        <w:t>6</w:t>
      </w:r>
      <w:r>
        <w:rPr>
          <w:rFonts w:hint="eastAsia" w:ascii="仿宋" w:hAnsi="仿宋" w:eastAsia="仿宋" w:cs="仿宋"/>
          <w:sz w:val="24"/>
          <w:highlight w:val="none"/>
          <w:lang w:eastAsia="zh-CN"/>
        </w:rPr>
        <w:t>个月内任意</w:t>
      </w:r>
      <w:r>
        <w:rPr>
          <w:rFonts w:hint="eastAsia" w:ascii="仿宋" w:hAnsi="仿宋" w:eastAsia="仿宋" w:cs="仿宋"/>
          <w:sz w:val="24"/>
          <w:highlight w:val="none"/>
          <w:lang w:val="en-US" w:eastAsia="zh-CN"/>
        </w:rPr>
        <w:t>1</w:t>
      </w:r>
      <w:r>
        <w:rPr>
          <w:rFonts w:hint="eastAsia" w:ascii="仿宋" w:hAnsi="仿宋" w:eastAsia="仿宋" w:cs="仿宋"/>
          <w:sz w:val="24"/>
          <w:highlight w:val="none"/>
          <w:lang w:eastAsia="zh-CN"/>
        </w:rPr>
        <w:t>个月的依法缴税凭据复印件</w:t>
      </w:r>
      <w:r>
        <w:rPr>
          <w:rFonts w:hint="eastAsia" w:ascii="仿宋" w:hAnsi="仿宋" w:eastAsia="仿宋" w:cs="仿宋"/>
          <w:sz w:val="24"/>
          <w:highlight w:val="none"/>
          <w:lang w:val="en-US" w:eastAsia="zh-CN"/>
        </w:rPr>
        <w:t>或</w:t>
      </w:r>
      <w:r>
        <w:rPr>
          <w:rFonts w:hint="eastAsia" w:ascii="仿宋" w:hAnsi="仿宋" w:eastAsia="仿宋" w:cs="仿宋"/>
          <w:sz w:val="24"/>
          <w:highlight w:val="none"/>
          <w:lang w:eastAsia="zh-CN"/>
        </w:rPr>
        <w:t>由税务局开具的完税证明或网上报税证明(截图)、缴纳税收的凭据复印件</w:t>
      </w:r>
      <w:r>
        <w:rPr>
          <w:rFonts w:hint="eastAsia" w:ascii="仿宋" w:hAnsi="仿宋" w:eastAsia="仿宋" w:cs="仿宋"/>
          <w:sz w:val="24"/>
          <w:highlight w:val="none"/>
          <w:lang w:val="en-US" w:eastAsia="zh-CN"/>
        </w:rPr>
        <w:t>或</w:t>
      </w:r>
      <w:r>
        <w:rPr>
          <w:rFonts w:hint="eastAsia" w:ascii="仿宋" w:hAnsi="仿宋" w:eastAsia="仿宋" w:cs="仿宋"/>
          <w:sz w:val="24"/>
          <w:highlight w:val="none"/>
          <w:lang w:eastAsia="zh-CN"/>
        </w:rPr>
        <w:t>由税务局开具的完税证明或网上报税证明(截图)</w:t>
      </w:r>
      <w:r>
        <w:rPr>
          <w:rFonts w:hint="eastAsia" w:ascii="仿宋" w:hAnsi="仿宋" w:eastAsia="仿宋" w:cs="仿宋"/>
          <w:sz w:val="24"/>
          <w:highlight w:val="none"/>
        </w:rPr>
        <w:t>；</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（5）具备履行合同所必需的设备和专业技术能力的证明材料（见附件）；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（6）参加政府采购活动前3年内在经营活动中没有重大违法记录的书面声明（见附件）；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（7）《无不良信用记录承诺》并加盖供应商公章（见附件）。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8</w:t>
      </w:r>
      <w:r>
        <w:rPr>
          <w:rFonts w:hint="eastAsia" w:ascii="仿宋" w:hAnsi="仿宋" w:eastAsia="仿宋" w:cs="仿宋"/>
          <w:sz w:val="24"/>
          <w:highlight w:val="none"/>
        </w:rPr>
        <w:t>）本项目不接受联合体投标；</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9</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认为需要提交的相关证明文件。</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9.3报价文件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（见附件）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（2）分项报价表（见附件）</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9.4技术文件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（1）服务</w:t>
      </w:r>
      <w:r>
        <w:rPr>
          <w:rFonts w:hint="eastAsia" w:ascii="仿宋" w:hAnsi="仿宋" w:eastAsia="仿宋" w:cs="仿宋"/>
          <w:sz w:val="24"/>
          <w:highlight w:val="none"/>
          <w:lang w:eastAsia="zh-CN"/>
        </w:rPr>
        <w:t>方案</w:t>
      </w:r>
      <w:r>
        <w:rPr>
          <w:rFonts w:hint="eastAsia" w:ascii="仿宋" w:hAnsi="仿宋" w:eastAsia="仿宋" w:cs="仿宋"/>
          <w:sz w:val="24"/>
          <w:highlight w:val="none"/>
        </w:rPr>
        <w:t>；</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（2）服务措施；</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（3）服务团队；</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（4）投标偏离表（见附件）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认为需要提交的其他相关证明文件。</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9.5商务文件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近两年同类</w:t>
      </w:r>
      <w:r>
        <w:rPr>
          <w:rFonts w:hint="eastAsia" w:ascii="仿宋" w:hAnsi="仿宋" w:eastAsia="仿宋" w:cs="仿宋"/>
          <w:sz w:val="24"/>
          <w:highlight w:val="none"/>
          <w:lang w:val="en-US" w:eastAsia="zh-CN"/>
        </w:rPr>
        <w:t>项目</w:t>
      </w:r>
      <w:r>
        <w:rPr>
          <w:rFonts w:hint="eastAsia" w:ascii="仿宋" w:hAnsi="仿宋" w:eastAsia="仿宋" w:cs="仿宋"/>
          <w:sz w:val="24"/>
          <w:highlight w:val="none"/>
        </w:rPr>
        <w:t>经营业绩一览表，须附相关合同复印件（见附件）；</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的财务报表，包括资产负债表、利润表、所有者权益变动表、现金流量表、财务报表附注等；</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（3）服务</w:t>
      </w:r>
      <w:r>
        <w:rPr>
          <w:rFonts w:hint="eastAsia" w:ascii="仿宋" w:hAnsi="仿宋" w:eastAsia="仿宋" w:cs="仿宋"/>
          <w:sz w:val="24"/>
          <w:highlight w:val="none"/>
          <w:lang w:eastAsia="zh-CN"/>
        </w:rPr>
        <w:t>承诺</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应提供及时、迅速、优质的服务；</w:t>
      </w:r>
    </w:p>
    <w:p>
      <w:pPr>
        <w:pStyle w:val="14"/>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（4）保证金电汇底单（若有）</w:t>
      </w:r>
    </w:p>
    <w:p>
      <w:pPr>
        <w:pStyle w:val="14"/>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（5）承诺函</w:t>
      </w:r>
    </w:p>
    <w:p>
      <w:pPr>
        <w:pStyle w:val="14"/>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（6）优惠条款（注：</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提供的优惠条件必须在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中明确列出，不包括报价优惠。</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在询标过程中增加的优惠条款将不作为评标考虑因素）。</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认为需要加以说明的其他内容（提供相关证明材料原件）。</w:t>
      </w:r>
    </w:p>
    <w:p>
      <w:pPr>
        <w:pStyle w:val="14"/>
        <w:tabs>
          <w:tab w:val="left" w:pos="382"/>
        </w:tabs>
        <w:wordWrap w:val="0"/>
        <w:spacing w:line="480" w:lineRule="exact"/>
        <w:ind w:left="0" w:leftChars="0" w:firstLine="841" w:firstLineChars="349"/>
        <w:rPr>
          <w:rFonts w:hint="eastAsia" w:ascii="仿宋" w:hAnsi="仿宋" w:eastAsia="仿宋" w:cs="仿宋"/>
          <w:sz w:val="24"/>
          <w:highlight w:val="none"/>
        </w:rPr>
      </w:pPr>
      <w:r>
        <w:rPr>
          <w:rFonts w:hint="eastAsia" w:ascii="仿宋" w:hAnsi="仿宋" w:eastAsia="仿宋" w:cs="仿宋"/>
          <w:b/>
          <w:color w:val="auto"/>
          <w:sz w:val="24"/>
          <w:highlight w:val="none"/>
        </w:rPr>
        <w:t>注：</w:t>
      </w:r>
      <w:r>
        <w:rPr>
          <w:rFonts w:hint="eastAsia" w:ascii="仿宋" w:hAnsi="仿宋" w:eastAsia="仿宋" w:cs="仿宋"/>
          <w:b/>
          <w:color w:val="auto"/>
          <w:sz w:val="24"/>
          <w:highlight w:val="none"/>
          <w:lang w:eastAsia="zh-CN"/>
        </w:rPr>
        <w:t>供应商</w:t>
      </w:r>
      <w:r>
        <w:rPr>
          <w:rFonts w:hint="eastAsia" w:ascii="仿宋" w:hAnsi="仿宋" w:eastAsia="仿宋" w:cs="仿宋"/>
          <w:b/>
          <w:color w:val="auto"/>
          <w:sz w:val="24"/>
          <w:highlight w:val="none"/>
        </w:rPr>
        <w:t>应按上述规定制作</w:t>
      </w:r>
      <w:r>
        <w:rPr>
          <w:rFonts w:hint="eastAsia" w:ascii="仿宋" w:hAnsi="仿宋" w:eastAsia="仿宋" w:cs="仿宋"/>
          <w:b/>
          <w:color w:val="auto"/>
          <w:sz w:val="24"/>
          <w:highlight w:val="none"/>
          <w:lang w:eastAsia="zh-CN"/>
        </w:rPr>
        <w:t>响应文件</w:t>
      </w:r>
      <w:r>
        <w:rPr>
          <w:rFonts w:hint="eastAsia" w:ascii="仿宋" w:hAnsi="仿宋" w:eastAsia="仿宋" w:cs="仿宋"/>
          <w:b/>
          <w:color w:val="auto"/>
          <w:sz w:val="24"/>
          <w:highlight w:val="none"/>
        </w:rPr>
        <w:t>，并按</w:t>
      </w:r>
      <w:r>
        <w:rPr>
          <w:rFonts w:hint="eastAsia" w:ascii="仿宋" w:hAnsi="仿宋" w:eastAsia="仿宋" w:cs="仿宋"/>
          <w:b/>
          <w:color w:val="auto"/>
          <w:sz w:val="24"/>
          <w:highlight w:val="none"/>
          <w:lang w:eastAsia="zh-CN"/>
        </w:rPr>
        <w:t>采购文件</w:t>
      </w:r>
      <w:r>
        <w:rPr>
          <w:rFonts w:hint="eastAsia" w:ascii="仿宋" w:hAnsi="仿宋" w:eastAsia="仿宋" w:cs="仿宋"/>
          <w:b/>
          <w:color w:val="auto"/>
          <w:sz w:val="24"/>
          <w:highlight w:val="none"/>
        </w:rPr>
        <w:t>给定的相关格式进行编制（给定格式可以根据需要进行调整）；没有的格式可以自行设计。</w:t>
      </w:r>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4" w:name="_Toc25510"/>
      <w:r>
        <w:rPr>
          <w:rFonts w:hint="eastAsia" w:ascii="仿宋" w:hAnsi="仿宋" w:eastAsia="仿宋" w:cs="仿宋"/>
          <w:b/>
          <w:sz w:val="24"/>
          <w:highlight w:val="none"/>
        </w:rPr>
        <w:t>10.</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装订</w:t>
      </w:r>
      <w:bookmarkEnd w:id="14"/>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必须将</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（正本、副本）中的有关文件按上述顺序排列</w:t>
      </w:r>
      <w:r>
        <w:rPr>
          <w:rFonts w:hint="eastAsia" w:ascii="仿宋" w:hAnsi="仿宋" w:eastAsia="仿宋" w:cs="仿宋"/>
          <w:sz w:val="24"/>
          <w:highlight w:val="none"/>
          <w:lang w:eastAsia="zh-CN"/>
        </w:rPr>
        <w:t>，建议</w:t>
      </w:r>
      <w:r>
        <w:rPr>
          <w:rFonts w:hint="eastAsia" w:ascii="仿宋" w:hAnsi="仿宋" w:eastAsia="仿宋" w:cs="仿宋"/>
          <w:b/>
          <w:sz w:val="28"/>
          <w:szCs w:val="28"/>
          <w:highlight w:val="none"/>
        </w:rPr>
        <w:t>胶装</w:t>
      </w:r>
      <w:r>
        <w:rPr>
          <w:rFonts w:hint="eastAsia" w:ascii="仿宋" w:hAnsi="仿宋" w:eastAsia="仿宋" w:cs="仿宋"/>
          <w:sz w:val="24"/>
          <w:highlight w:val="none"/>
        </w:rPr>
        <w:t>成册，并在首页编制“</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目录”。</w:t>
      </w:r>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5" w:name="_Toc19584"/>
      <w:r>
        <w:rPr>
          <w:rFonts w:hint="eastAsia" w:ascii="仿宋" w:hAnsi="仿宋" w:eastAsia="仿宋" w:cs="仿宋"/>
          <w:b/>
          <w:sz w:val="24"/>
          <w:highlight w:val="none"/>
        </w:rPr>
        <w:t>11.投标报价</w:t>
      </w:r>
      <w:bookmarkEnd w:id="15"/>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11.1本次投标报价为</w:t>
      </w:r>
      <w:r>
        <w:rPr>
          <w:rFonts w:hint="eastAsia" w:ascii="仿宋" w:hAnsi="仿宋" w:eastAsia="仿宋" w:cs="仿宋"/>
          <w:b/>
          <w:sz w:val="24"/>
          <w:highlight w:val="none"/>
        </w:rPr>
        <w:t>非一次性</w:t>
      </w:r>
      <w:r>
        <w:rPr>
          <w:rFonts w:hint="eastAsia" w:ascii="仿宋" w:hAnsi="仿宋" w:eastAsia="仿宋" w:cs="仿宋"/>
          <w:sz w:val="24"/>
          <w:highlight w:val="none"/>
        </w:rPr>
        <w:t>报价。供应商将有再次报价的机会，每次报价均应书面确认。第一次公开报价超预算的，按无效投标处理。</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11.2报价币种为人民币。</w:t>
      </w:r>
    </w:p>
    <w:p>
      <w:pPr>
        <w:pStyle w:val="18"/>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11.3</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在投标时只允许提供一个方案。</w:t>
      </w:r>
    </w:p>
    <w:p>
      <w:pPr>
        <w:pStyle w:val="18"/>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11.4报价应包括硬件、软件（执行过程中可能发生人工费、保险、测试、维护等）及知识产权专用工具、培训、技术服务、保险费、安装调试费、利润、税金、因国家政策调整等不可抗力所引起的相关费用、各项费用和价格的涨价风险，以及合同明示或暗示的所有责任、义务和不可抗力以外的一切风险等完成本项目工作所需的全部费用。</w:t>
      </w:r>
    </w:p>
    <w:p>
      <w:pPr>
        <w:pStyle w:val="18"/>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11.5单独密封的</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与</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正本不符，以</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为准；三份</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不一致的，按无效投标处理。</w:t>
      </w:r>
    </w:p>
    <w:p>
      <w:pPr>
        <w:pStyle w:val="18"/>
        <w:tabs>
          <w:tab w:val="left" w:pos="0"/>
          <w:tab w:val="left" w:pos="1146"/>
          <w:tab w:val="left" w:pos="1528"/>
          <w:tab w:val="left" w:pos="1719"/>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11.6</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须提供分项单价和投标总价，如果单价和总价不符，以单价为准，但单价金额小数点有明显错误的除外，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对同一种服务只允许有一个报价。</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11.7如果大写的金额和小写的金额不一致时，以大写的金额为准。</w:t>
      </w:r>
    </w:p>
    <w:p>
      <w:pPr>
        <w:pStyle w:val="18"/>
        <w:tabs>
          <w:tab w:val="left" w:pos="1146"/>
          <w:tab w:val="left" w:pos="1719"/>
          <w:tab w:val="left" w:pos="2483"/>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11.8</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免费提供的项目，应先填写该项目的实际价格，并注明增配。此项计入总报价。</w:t>
      </w:r>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6" w:name="_Toc835"/>
      <w:r>
        <w:rPr>
          <w:rFonts w:hint="eastAsia" w:ascii="仿宋" w:hAnsi="仿宋" w:eastAsia="仿宋" w:cs="仿宋"/>
          <w:b/>
          <w:sz w:val="24"/>
          <w:highlight w:val="none"/>
        </w:rPr>
        <w:t>12.</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编写方式</w:t>
      </w:r>
      <w:bookmarkEnd w:id="16"/>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12.1</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正本和副本用A4幅面的纸张打印。</w:t>
      </w:r>
    </w:p>
    <w:p>
      <w:pPr>
        <w:pStyle w:val="18"/>
        <w:tabs>
          <w:tab w:val="left" w:pos="1146"/>
          <w:tab w:val="left" w:pos="1719"/>
          <w:tab w:val="left" w:pos="2483"/>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12.2</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应严格按照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的要求提交，并按规定的统一格式逐项填写，不准有空项；无相应内容可填的项应填写“无”、“没有相应指标”等明确的回答文字。</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未按规定提交或留有空项，将被视为不完整响应的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，其投标有可能被拒绝。</w:t>
      </w:r>
    </w:p>
    <w:p>
      <w:pPr>
        <w:pStyle w:val="18"/>
        <w:tabs>
          <w:tab w:val="left" w:pos="1146"/>
          <w:tab w:val="left" w:pos="1719"/>
          <w:tab w:val="left" w:pos="2483"/>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12.3因</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字迹潦草、模糊或表达不清所引起的不利后果由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承担。</w:t>
      </w:r>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7" w:name="_Toc29941"/>
      <w:r>
        <w:rPr>
          <w:rFonts w:hint="eastAsia" w:ascii="仿宋" w:hAnsi="仿宋" w:eastAsia="仿宋" w:cs="仿宋"/>
          <w:b/>
          <w:sz w:val="24"/>
          <w:highlight w:val="none"/>
        </w:rPr>
        <w:t>13.</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签署</w:t>
      </w:r>
      <w:bookmarkEnd w:id="17"/>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13.1法定代表人或授权代理人必须按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的规定在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（正本、副本及各附件）、</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上签字并加盖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单位公章，不得使用其它形式如带有“专用章”等字样的印章，否则投标将被视为无效。如</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进行了修改，则须由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的法定代表人或授权代理人在修改的每一页上签字或加盖公章。</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13.2任何行间插字、涂改和增删，必须由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的法定代表人或授权代理人签字或加盖公章后才有效。</w:t>
      </w:r>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8" w:name="_Toc24606"/>
      <w:r>
        <w:rPr>
          <w:rFonts w:hint="eastAsia" w:ascii="仿宋" w:hAnsi="仿宋" w:eastAsia="仿宋" w:cs="仿宋"/>
          <w:b/>
          <w:sz w:val="24"/>
          <w:highlight w:val="none"/>
        </w:rPr>
        <w:t>14.</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密封和标记</w:t>
      </w:r>
      <w:bookmarkEnd w:id="18"/>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14.1</w:t>
      </w: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应准备</w:t>
      </w:r>
      <w:r>
        <w:rPr>
          <w:rFonts w:hint="eastAsia" w:ascii="仿宋" w:hAnsi="仿宋" w:eastAsia="仿宋" w:cs="仿宋"/>
          <w:b/>
          <w:sz w:val="24"/>
          <w:highlight w:val="none"/>
          <w:lang w:eastAsia="zh-CN"/>
        </w:rPr>
        <w:t>五份响应文件</w:t>
      </w:r>
      <w:r>
        <w:rPr>
          <w:rFonts w:hint="eastAsia" w:ascii="仿宋" w:hAnsi="仿宋" w:eastAsia="仿宋" w:cs="仿宋"/>
          <w:b/>
          <w:sz w:val="24"/>
          <w:highlight w:val="none"/>
        </w:rPr>
        <w:t>，一份正本和</w:t>
      </w:r>
      <w:r>
        <w:rPr>
          <w:rFonts w:hint="eastAsia" w:ascii="仿宋" w:hAnsi="仿宋" w:eastAsia="仿宋" w:cs="仿宋"/>
          <w:b/>
          <w:sz w:val="24"/>
          <w:highlight w:val="none"/>
          <w:lang w:eastAsia="zh-CN"/>
        </w:rPr>
        <w:t>四份副本</w:t>
      </w:r>
      <w:r>
        <w:rPr>
          <w:rFonts w:hint="eastAsia" w:ascii="仿宋" w:hAnsi="仿宋" w:eastAsia="仿宋" w:cs="仿宋"/>
          <w:bCs/>
          <w:sz w:val="24"/>
          <w:highlight w:val="none"/>
        </w:rPr>
        <w:t>，</w:t>
      </w:r>
      <w:r>
        <w:rPr>
          <w:rFonts w:hint="eastAsia" w:ascii="仿宋" w:hAnsi="仿宋" w:eastAsia="仿宋" w:cs="仿宋"/>
          <w:b/>
          <w:bCs/>
          <w:sz w:val="28"/>
          <w:szCs w:val="28"/>
          <w:highlight w:val="none"/>
          <w:lang w:eastAsia="zh-CN"/>
        </w:rPr>
        <w:t>建议</w:t>
      </w:r>
      <w:r>
        <w:rPr>
          <w:rFonts w:hint="eastAsia" w:ascii="仿宋" w:hAnsi="仿宋" w:eastAsia="仿宋" w:cs="仿宋"/>
          <w:b/>
          <w:bCs/>
          <w:sz w:val="28"/>
          <w:szCs w:val="28"/>
          <w:highlight w:val="none"/>
        </w:rPr>
        <w:t>胶装。</w:t>
      </w:r>
      <w:r>
        <w:rPr>
          <w:rFonts w:hint="eastAsia" w:ascii="仿宋" w:hAnsi="仿宋" w:eastAsia="仿宋" w:cs="仿宋"/>
          <w:bCs/>
          <w:sz w:val="24"/>
          <w:highlight w:val="none"/>
        </w:rPr>
        <w:t>外加电子文件</w:t>
      </w:r>
      <w:r>
        <w:rPr>
          <w:rFonts w:hint="eastAsia" w:ascii="仿宋" w:hAnsi="仿宋" w:eastAsia="仿宋" w:cs="仿宋"/>
          <w:sz w:val="24"/>
          <w:highlight w:val="none"/>
        </w:rPr>
        <w:t>一份</w:t>
      </w:r>
      <w:r>
        <w:rPr>
          <w:rFonts w:hint="eastAsia" w:ascii="仿宋" w:hAnsi="仿宋" w:eastAsia="仿宋" w:cs="仿宋"/>
          <w:bCs/>
          <w:sz w:val="24"/>
          <w:highlight w:val="none"/>
        </w:rPr>
        <w:t>。在每一份</w:t>
      </w:r>
      <w:r>
        <w:rPr>
          <w:rFonts w:hint="eastAsia" w:ascii="仿宋" w:hAnsi="仿宋" w:eastAsia="仿宋" w:cs="仿宋"/>
          <w:bCs/>
          <w:sz w:val="24"/>
          <w:highlight w:val="none"/>
          <w:lang w:eastAsia="zh-CN"/>
        </w:rPr>
        <w:t>响应文件</w:t>
      </w:r>
      <w:r>
        <w:rPr>
          <w:rFonts w:hint="eastAsia" w:ascii="仿宋" w:hAnsi="仿宋" w:eastAsia="仿宋" w:cs="仿宋"/>
          <w:bCs/>
          <w:sz w:val="24"/>
          <w:highlight w:val="none"/>
        </w:rPr>
        <w:t>上要注明“正本”、“副本”、“电子版标书”字样，一旦正本和副本有差异，以正本为准。</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14.2</w:t>
      </w: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应将</w:t>
      </w:r>
      <w:r>
        <w:rPr>
          <w:rFonts w:hint="eastAsia" w:ascii="仿宋" w:hAnsi="仿宋" w:eastAsia="仿宋" w:cs="仿宋"/>
          <w:bCs/>
          <w:sz w:val="24"/>
          <w:highlight w:val="none"/>
          <w:lang w:eastAsia="zh-CN"/>
        </w:rPr>
        <w:t>响应文件</w:t>
      </w:r>
      <w:r>
        <w:rPr>
          <w:rFonts w:hint="eastAsia" w:ascii="仿宋" w:hAnsi="仿宋" w:eastAsia="仿宋" w:cs="仿宋"/>
          <w:bCs/>
          <w:sz w:val="24"/>
          <w:highlight w:val="none"/>
        </w:rPr>
        <w:t>正本、副本分别密封，</w:t>
      </w:r>
      <w:r>
        <w:rPr>
          <w:rFonts w:hint="eastAsia" w:ascii="仿宋" w:hAnsi="仿宋" w:eastAsia="仿宋" w:cs="仿宋"/>
          <w:sz w:val="24"/>
          <w:highlight w:val="none"/>
        </w:rPr>
        <w:t>密封件格式见附件。</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14.3为方便开标、唱标，请</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另外准备三份“</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”单独密封（</w:t>
      </w:r>
      <w:r>
        <w:rPr>
          <w:rFonts w:hint="eastAsia" w:ascii="仿宋" w:hAnsi="仿宋" w:eastAsia="仿宋" w:cs="仿宋"/>
          <w:b/>
          <w:sz w:val="24"/>
          <w:highlight w:val="none"/>
        </w:rPr>
        <w:t>三份放在一个档案袋内即可</w:t>
      </w:r>
      <w:r>
        <w:rPr>
          <w:rFonts w:hint="eastAsia" w:ascii="仿宋" w:hAnsi="仿宋" w:eastAsia="仿宋" w:cs="仿宋"/>
          <w:sz w:val="24"/>
          <w:highlight w:val="none"/>
        </w:rPr>
        <w:t>），与</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同时提交。在封面加盖投标单位公章并注明</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、项目名称、</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14.4在递交纸质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时须一并递交该</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的电子文件，</w:t>
      </w:r>
      <w:r>
        <w:rPr>
          <w:rFonts w:hint="eastAsia" w:ascii="仿宋" w:hAnsi="仿宋" w:eastAsia="仿宋" w:cs="仿宋"/>
          <w:b/>
          <w:sz w:val="24"/>
          <w:highlight w:val="none"/>
        </w:rPr>
        <w:t>此电子文件为签字盖章完毕的正本</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的pdf</w:t>
      </w:r>
      <w:r>
        <w:rPr>
          <w:rFonts w:hint="eastAsia" w:ascii="仿宋" w:hAnsi="仿宋" w:eastAsia="仿宋" w:cs="仿宋"/>
          <w:b/>
          <w:sz w:val="24"/>
          <w:highlight w:val="none"/>
          <w:lang w:val="en-US" w:eastAsia="zh-CN"/>
        </w:rPr>
        <w:t>和word</w:t>
      </w:r>
      <w:r>
        <w:rPr>
          <w:rFonts w:hint="eastAsia" w:ascii="仿宋" w:hAnsi="仿宋" w:eastAsia="仿宋" w:cs="仿宋"/>
          <w:b/>
          <w:sz w:val="24"/>
          <w:highlight w:val="none"/>
        </w:rPr>
        <w:t>文件，单独密封，U盘存储。</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14.5每一密封件在封口处加盖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单位公章并注明“于    年  月  日  时之前不准启封”字样。</w:t>
      </w:r>
    </w:p>
    <w:p>
      <w:pPr>
        <w:pStyle w:val="19"/>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9" w:name="_Toc5974"/>
      <w:r>
        <w:rPr>
          <w:rFonts w:hint="eastAsia" w:ascii="仿宋" w:hAnsi="仿宋" w:eastAsia="仿宋" w:cs="仿宋"/>
          <w:b/>
          <w:sz w:val="24"/>
          <w:highlight w:val="none"/>
        </w:rPr>
        <w:t>15.投标保证金：</w:t>
      </w:r>
      <w:bookmarkEnd w:id="19"/>
    </w:p>
    <w:p>
      <w:pPr>
        <w:pStyle w:val="18"/>
        <w:spacing w:after="0" w:line="360" w:lineRule="auto"/>
        <w:ind w:firstLine="482" w:firstLineChars="200"/>
        <w:jc w:val="left"/>
        <w:rPr>
          <w:rFonts w:hint="eastAsia" w:ascii="仿宋" w:hAnsi="仿宋" w:eastAsia="仿宋" w:cs="仿宋"/>
          <w:b/>
          <w:sz w:val="24"/>
          <w:highlight w:val="none"/>
        </w:rPr>
      </w:pPr>
      <w:r>
        <w:rPr>
          <w:rFonts w:hint="eastAsia" w:ascii="仿宋" w:hAnsi="仿宋" w:eastAsia="仿宋" w:cs="仿宋"/>
          <w:b/>
          <w:sz w:val="24"/>
          <w:highlight w:val="none"/>
        </w:rPr>
        <w:t>无。</w:t>
      </w:r>
    </w:p>
    <w:p>
      <w:pPr>
        <w:pStyle w:val="19"/>
        <w:spacing w:line="360" w:lineRule="auto"/>
        <w:ind w:left="0" w:leftChars="0" w:firstLine="482" w:firstLineChars="200"/>
        <w:jc w:val="left"/>
        <w:outlineLvl w:val="2"/>
        <w:rPr>
          <w:rFonts w:hint="eastAsia" w:ascii="仿宋" w:hAnsi="仿宋" w:eastAsia="仿宋" w:cs="仿宋"/>
          <w:b/>
          <w:sz w:val="24"/>
          <w:highlight w:val="none"/>
        </w:rPr>
      </w:pPr>
      <w:bookmarkStart w:id="20" w:name="_Toc6985"/>
      <w:r>
        <w:rPr>
          <w:rFonts w:hint="eastAsia" w:ascii="仿宋" w:hAnsi="仿宋" w:eastAsia="仿宋" w:cs="仿宋"/>
          <w:b/>
          <w:sz w:val="24"/>
          <w:highlight w:val="none"/>
        </w:rPr>
        <w:t>16.投标有效期</w:t>
      </w:r>
      <w:bookmarkEnd w:id="20"/>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bCs/>
          <w:sz w:val="24"/>
          <w:highlight w:val="none"/>
        </w:rPr>
        <w:t>16.1</w:t>
      </w:r>
      <w:r>
        <w:rPr>
          <w:rFonts w:hint="eastAsia" w:ascii="仿宋" w:hAnsi="仿宋" w:eastAsia="仿宋" w:cs="仿宋"/>
          <w:sz w:val="24"/>
          <w:highlight w:val="none"/>
        </w:rPr>
        <w:t>从开标之日起，投标有效期为90日。投标函的有效期比本须知规定的有效期短的，将被称为非响应投标，</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有权拒绝。</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16.2特殊情况下，在投标有效期满之前，</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可以以书面形式要求</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同意延长投标有效期。</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可以书面形式拒绝或接受上述要求。拒绝延长投标有效期的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有权收回投标保证金；同意延长投标有效期的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应当相应延长其投标保证金的有效期，但不得修改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的实质性内容。</w:t>
      </w:r>
    </w:p>
    <w:p>
      <w:pPr>
        <w:pStyle w:val="19"/>
        <w:spacing w:line="360" w:lineRule="auto"/>
        <w:ind w:left="0" w:leftChars="0" w:firstLine="562" w:firstLineChars="200"/>
        <w:jc w:val="left"/>
        <w:outlineLvl w:val="1"/>
        <w:rPr>
          <w:rFonts w:hint="eastAsia" w:ascii="仿宋" w:hAnsi="仿宋" w:eastAsia="仿宋" w:cs="仿宋"/>
          <w:b/>
          <w:sz w:val="28"/>
          <w:highlight w:val="none"/>
        </w:rPr>
      </w:pPr>
      <w:bookmarkStart w:id="21" w:name="_Toc6026"/>
      <w:r>
        <w:rPr>
          <w:rFonts w:hint="eastAsia" w:ascii="仿宋" w:hAnsi="仿宋" w:eastAsia="仿宋" w:cs="仿宋"/>
          <w:b/>
          <w:sz w:val="28"/>
          <w:highlight w:val="none"/>
        </w:rPr>
        <w:t>四、</w:t>
      </w:r>
      <w:r>
        <w:rPr>
          <w:rFonts w:hint="eastAsia" w:ascii="仿宋" w:hAnsi="仿宋" w:eastAsia="仿宋" w:cs="仿宋"/>
          <w:b/>
          <w:sz w:val="28"/>
          <w:highlight w:val="none"/>
          <w:lang w:eastAsia="zh-CN"/>
        </w:rPr>
        <w:t>响应文件</w:t>
      </w:r>
      <w:r>
        <w:rPr>
          <w:rFonts w:hint="eastAsia" w:ascii="仿宋" w:hAnsi="仿宋" w:eastAsia="仿宋" w:cs="仿宋"/>
          <w:b/>
          <w:sz w:val="28"/>
          <w:highlight w:val="none"/>
        </w:rPr>
        <w:t>递交</w:t>
      </w:r>
      <w:bookmarkEnd w:id="21"/>
    </w:p>
    <w:p>
      <w:pPr>
        <w:pStyle w:val="19"/>
        <w:spacing w:line="360" w:lineRule="auto"/>
        <w:ind w:left="0" w:leftChars="0" w:firstLine="482" w:firstLineChars="200"/>
        <w:jc w:val="left"/>
        <w:outlineLvl w:val="2"/>
        <w:rPr>
          <w:rFonts w:hint="eastAsia" w:ascii="仿宋" w:hAnsi="仿宋" w:eastAsia="仿宋" w:cs="仿宋"/>
          <w:b/>
          <w:sz w:val="24"/>
          <w:highlight w:val="none"/>
        </w:rPr>
      </w:pPr>
      <w:bookmarkStart w:id="22" w:name="_Toc15272"/>
      <w:r>
        <w:rPr>
          <w:rFonts w:hint="eastAsia" w:ascii="仿宋" w:hAnsi="仿宋" w:eastAsia="仿宋" w:cs="仿宋"/>
          <w:b/>
          <w:sz w:val="24"/>
          <w:highlight w:val="none"/>
        </w:rPr>
        <w:t>17.</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递交时间和地点</w:t>
      </w:r>
      <w:bookmarkEnd w:id="22"/>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17.1递交时间：</w:t>
      </w:r>
      <w:r>
        <w:rPr>
          <w:rFonts w:hint="eastAsia" w:ascii="仿宋" w:hAnsi="仿宋" w:eastAsia="仿宋" w:cs="仿宋"/>
          <w:sz w:val="24"/>
          <w:highlight w:val="none"/>
          <w:lang w:eastAsia="zh-CN"/>
        </w:rPr>
        <w:t>202</w:t>
      </w:r>
      <w:r>
        <w:rPr>
          <w:rFonts w:hint="eastAsia" w:ascii="仿宋" w:hAnsi="仿宋" w:eastAsia="仿宋" w:cs="仿宋"/>
          <w:sz w:val="24"/>
          <w:highlight w:val="none"/>
          <w:lang w:val="en-US" w:eastAsia="zh-CN"/>
        </w:rPr>
        <w:t>3</w:t>
      </w:r>
      <w:r>
        <w:rPr>
          <w:rFonts w:hint="eastAsia" w:ascii="仿宋" w:hAnsi="仿宋" w:eastAsia="仿宋" w:cs="仿宋"/>
          <w:sz w:val="24"/>
          <w:highlight w:val="none"/>
          <w:lang w:eastAsia="zh-CN"/>
        </w:rPr>
        <w:t>年</w:t>
      </w:r>
      <w:r>
        <w:rPr>
          <w:rFonts w:hint="eastAsia" w:ascii="仿宋" w:hAnsi="仿宋" w:eastAsia="仿宋" w:cs="仿宋"/>
          <w:sz w:val="24"/>
          <w:highlight w:val="none"/>
          <w:lang w:val="en-US" w:eastAsia="zh-CN"/>
        </w:rPr>
        <w:t>11</w:t>
      </w:r>
      <w:r>
        <w:rPr>
          <w:rFonts w:hint="eastAsia" w:ascii="仿宋" w:hAnsi="仿宋" w:eastAsia="仿宋" w:cs="仿宋"/>
          <w:sz w:val="24"/>
          <w:highlight w:val="none"/>
          <w:lang w:eastAsia="zh-CN"/>
        </w:rPr>
        <w:t>月</w:t>
      </w:r>
      <w:r>
        <w:rPr>
          <w:rFonts w:hint="eastAsia" w:ascii="仿宋" w:hAnsi="仿宋" w:eastAsia="仿宋" w:cs="仿宋"/>
          <w:sz w:val="24"/>
          <w:highlight w:val="none"/>
          <w:lang w:val="en-US" w:eastAsia="zh-CN"/>
        </w:rPr>
        <w:t>20</w:t>
      </w:r>
      <w:r>
        <w:rPr>
          <w:rFonts w:hint="eastAsia" w:ascii="仿宋" w:hAnsi="仿宋" w:eastAsia="仿宋" w:cs="仿宋"/>
          <w:sz w:val="24"/>
          <w:highlight w:val="none"/>
          <w:lang w:eastAsia="zh-CN"/>
        </w:rPr>
        <w:t>日</w:t>
      </w:r>
      <w:r>
        <w:rPr>
          <w:rFonts w:hint="eastAsia" w:ascii="仿宋" w:hAnsi="仿宋" w:eastAsia="仿宋" w:cs="仿宋"/>
          <w:sz w:val="24"/>
          <w:highlight w:val="none"/>
          <w:lang w:val="en-US" w:eastAsia="zh-CN"/>
        </w:rPr>
        <w:t>13</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0 -</w:t>
      </w:r>
      <w:r>
        <w:rPr>
          <w:rFonts w:hint="eastAsia" w:ascii="仿宋" w:hAnsi="仿宋" w:eastAsia="仿宋" w:cs="仿宋"/>
          <w:sz w:val="24"/>
          <w:highlight w:val="none"/>
          <w:lang w:val="en-US" w:eastAsia="zh-CN"/>
        </w:rPr>
        <w:t>14</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w:t>
      </w:r>
      <w:r>
        <w:rPr>
          <w:rFonts w:hint="eastAsia" w:ascii="仿宋" w:hAnsi="仿宋" w:eastAsia="仿宋" w:cs="仿宋"/>
          <w:sz w:val="24"/>
          <w:highlight w:val="none"/>
        </w:rPr>
        <w:t>0（北京时间）</w:t>
      </w:r>
    </w:p>
    <w:p>
      <w:pPr>
        <w:pStyle w:val="3"/>
        <w:tabs>
          <w:tab w:val="left" w:pos="0"/>
          <w:tab w:val="left" w:pos="840"/>
          <w:tab w:val="left" w:pos="955"/>
        </w:tabs>
        <w:wordWrap w:val="0"/>
        <w:spacing w:line="360" w:lineRule="auto"/>
        <w:ind w:left="0" w:leftChars="0" w:firstLine="1080" w:firstLineChars="450"/>
        <w:rPr>
          <w:rFonts w:hint="eastAsia" w:ascii="仿宋" w:hAnsi="仿宋" w:eastAsia="仿宋" w:cs="仿宋"/>
          <w:sz w:val="24"/>
          <w:highlight w:val="none"/>
          <w:lang w:val="en-US" w:eastAsia="zh-CN"/>
        </w:rPr>
      </w:pPr>
      <w:r>
        <w:rPr>
          <w:rFonts w:hint="eastAsia" w:ascii="仿宋" w:hAnsi="仿宋" w:eastAsia="仿宋" w:cs="仿宋"/>
          <w:sz w:val="24"/>
          <w:highlight w:val="none"/>
        </w:rPr>
        <w:t>地点：</w:t>
      </w:r>
      <w:r>
        <w:rPr>
          <w:rFonts w:hint="eastAsia" w:ascii="仿宋" w:hAnsi="仿宋" w:eastAsia="仿宋" w:cs="仿宋"/>
          <w:highlight w:val="none"/>
        </w:rPr>
        <w:t>济南市历下区经十路13777号中润世纪广场18号楼</w:t>
      </w:r>
      <w:r>
        <w:rPr>
          <w:rFonts w:hint="eastAsia" w:ascii="仿宋" w:hAnsi="仿宋" w:eastAsia="仿宋" w:cs="仿宋"/>
          <w:highlight w:val="none"/>
          <w:lang w:val="en-US" w:eastAsia="zh-CN"/>
        </w:rPr>
        <w:t>301</w:t>
      </w:r>
      <w:r>
        <w:rPr>
          <w:rFonts w:hint="eastAsia" w:ascii="仿宋" w:hAnsi="仿宋" w:eastAsia="仿宋" w:cs="仿宋"/>
          <w:highlight w:val="none"/>
          <w:lang w:eastAsia="zh-CN"/>
        </w:rPr>
        <w:t>。</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代表必须在投标截止时间前将</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送达指定地点。</w:t>
      </w:r>
      <w:bookmarkStart w:id="290" w:name="_GoBack"/>
      <w:bookmarkEnd w:id="290"/>
      <w:r>
        <w:rPr>
          <w:rFonts w:hint="eastAsia" w:ascii="仿宋" w:hAnsi="仿宋" w:eastAsia="仿宋" w:cs="仿宋"/>
          <w:sz w:val="24"/>
          <w:highlight w:val="none"/>
        </w:rPr>
        <w:t>如因</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的修改推迟投标截止日期的，则按</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另行通知规定的时间递交。</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17.3</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将拒绝接收投标截止时间后送达的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w:t>
      </w:r>
    </w:p>
    <w:p>
      <w:pPr>
        <w:pStyle w:val="19"/>
        <w:spacing w:line="360" w:lineRule="auto"/>
        <w:ind w:left="0" w:leftChars="0" w:firstLine="482" w:firstLineChars="200"/>
        <w:jc w:val="left"/>
        <w:outlineLvl w:val="2"/>
        <w:rPr>
          <w:rFonts w:hint="eastAsia" w:ascii="仿宋" w:hAnsi="仿宋" w:eastAsia="仿宋" w:cs="仿宋"/>
          <w:b/>
          <w:sz w:val="24"/>
          <w:highlight w:val="none"/>
        </w:rPr>
      </w:pPr>
      <w:bookmarkStart w:id="23" w:name="_Toc12572"/>
      <w:r>
        <w:rPr>
          <w:rFonts w:hint="eastAsia" w:ascii="仿宋" w:hAnsi="仿宋" w:eastAsia="仿宋" w:cs="仿宋"/>
          <w:b/>
          <w:sz w:val="24"/>
          <w:highlight w:val="none"/>
        </w:rPr>
        <w:t>18.</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签收</w:t>
      </w:r>
      <w:bookmarkEnd w:id="23"/>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18.1</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收到</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后，</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签字确认。</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18.2电报、电话、传真、电子邮件等形式的投标不予接受。</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18.3对</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提交的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在投标截止时间后不予退还。</w:t>
      </w:r>
    </w:p>
    <w:p>
      <w:pPr>
        <w:pStyle w:val="19"/>
        <w:spacing w:line="360" w:lineRule="auto"/>
        <w:ind w:left="0" w:leftChars="0" w:firstLine="482" w:firstLineChars="200"/>
        <w:jc w:val="left"/>
        <w:outlineLvl w:val="2"/>
        <w:rPr>
          <w:rFonts w:hint="eastAsia" w:ascii="仿宋" w:hAnsi="仿宋" w:eastAsia="仿宋" w:cs="仿宋"/>
          <w:b/>
          <w:sz w:val="24"/>
          <w:highlight w:val="none"/>
        </w:rPr>
      </w:pPr>
      <w:bookmarkStart w:id="24" w:name="_Toc26116"/>
      <w:r>
        <w:rPr>
          <w:rFonts w:hint="eastAsia" w:ascii="仿宋" w:hAnsi="仿宋" w:eastAsia="仿宋" w:cs="仿宋"/>
          <w:b/>
          <w:sz w:val="24"/>
          <w:highlight w:val="none"/>
        </w:rPr>
        <w:t>19.</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修改与撤回</w:t>
      </w:r>
      <w:bookmarkEnd w:id="24"/>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的截止时间前，可以修改或者撤回已提交的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，并书面形式通知</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19.2任何修改内容必须由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的法定代表人或其授权代理人签字，不得涂抹。经法定代表人或其授权代理人正式签署的修改文件组成</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的一部分，份数和密封要求同</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一致。</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19.3投标截止时间后不允许对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做实质性修改。</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19.4投标有效期内不得撤回投标。</w:t>
      </w:r>
    </w:p>
    <w:p>
      <w:pPr>
        <w:pStyle w:val="19"/>
        <w:spacing w:line="360" w:lineRule="auto"/>
        <w:ind w:left="0" w:leftChars="0" w:firstLine="562" w:firstLineChars="200"/>
        <w:jc w:val="left"/>
        <w:outlineLvl w:val="1"/>
        <w:rPr>
          <w:rFonts w:hint="eastAsia" w:ascii="仿宋" w:hAnsi="仿宋" w:eastAsia="仿宋" w:cs="仿宋"/>
          <w:b/>
          <w:sz w:val="28"/>
          <w:highlight w:val="none"/>
        </w:rPr>
      </w:pPr>
      <w:bookmarkStart w:id="25" w:name="_Toc6002"/>
      <w:r>
        <w:rPr>
          <w:rFonts w:hint="eastAsia" w:ascii="仿宋" w:hAnsi="仿宋" w:eastAsia="仿宋" w:cs="仿宋"/>
          <w:b/>
          <w:sz w:val="28"/>
          <w:highlight w:val="none"/>
        </w:rPr>
        <w:t>五、开标与评标</w:t>
      </w:r>
      <w:bookmarkEnd w:id="25"/>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26" w:name="_Toc8935"/>
      <w:r>
        <w:rPr>
          <w:rFonts w:hint="eastAsia" w:ascii="仿宋" w:hAnsi="仿宋" w:eastAsia="仿宋" w:cs="仿宋"/>
          <w:b/>
          <w:bCs/>
          <w:sz w:val="24"/>
          <w:highlight w:val="none"/>
        </w:rPr>
        <w:t>20.开标</w:t>
      </w:r>
      <w:bookmarkEnd w:id="26"/>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20.1按照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规定的时间、地点开标。开标由</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主持，</w:t>
      </w:r>
      <w:r>
        <w:rPr>
          <w:rFonts w:hint="eastAsia" w:ascii="仿宋" w:hAnsi="仿宋" w:eastAsia="仿宋" w:cs="仿宋"/>
          <w:sz w:val="24"/>
          <w:highlight w:val="none"/>
          <w:lang w:eastAsia="zh-CN"/>
        </w:rPr>
        <w:t>采购人</w:t>
      </w:r>
      <w:r>
        <w:rPr>
          <w:rFonts w:hint="eastAsia" w:ascii="仿宋" w:hAnsi="仿宋" w:eastAsia="仿宋" w:cs="仿宋"/>
          <w:sz w:val="24"/>
          <w:highlight w:val="none"/>
        </w:rPr>
        <w:t>、见证机构、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参加。</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20.2开标时，由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和</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委托的见证机构检查</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的密封情况，并经</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签字确认，见证机构对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的密封情况进行见证。</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20.3工作人员当众拆启</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，唱标员宣读</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名称、投标报价和其它主要内容。</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20.4记录员将唱标内容分项记录。</w:t>
      </w:r>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27" w:name="_Toc12479"/>
      <w:r>
        <w:rPr>
          <w:rFonts w:hint="eastAsia" w:ascii="仿宋" w:hAnsi="仿宋" w:eastAsia="仿宋" w:cs="仿宋"/>
          <w:b/>
          <w:bCs/>
          <w:sz w:val="24"/>
          <w:highlight w:val="none"/>
        </w:rPr>
        <w:t>21.谈判小组</w:t>
      </w:r>
      <w:bookmarkEnd w:id="27"/>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将根据本项目的特点组建谈判小组，其成员由采购人及有关方面的专家等三人以上单数组成，其中经济、技术等方面的专家不得少于成员总数的三分之二，谈判小组负责对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进行审查、质疑、评审，确定入围</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w:t>
      </w:r>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28" w:name="_Toc2109"/>
      <w:r>
        <w:rPr>
          <w:rFonts w:hint="eastAsia" w:ascii="仿宋" w:hAnsi="仿宋" w:eastAsia="仿宋" w:cs="仿宋"/>
          <w:b/>
          <w:bCs/>
          <w:sz w:val="24"/>
          <w:highlight w:val="none"/>
        </w:rPr>
        <w:t>22.评标原则</w:t>
      </w:r>
      <w:bookmarkEnd w:id="28"/>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22.1客观性原则：谈判小组将严格按照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的要求，对</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进行认真评审；谈判小组对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的评审仅依据</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本身，而不依据</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以外的任何因素。</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22.2统一性原则：谈判小组将按照统一的评标原则和评标方法，用同一标准进行评标。</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22.3独立性原则：评标工作在谈判小组内部独立进行，不受外界任何因素的干扰和影响。评委对出具的评标意见承担个人责任。</w:t>
      </w:r>
    </w:p>
    <w:p>
      <w:pPr>
        <w:pStyle w:val="18"/>
        <w:spacing w:after="0" w:line="360" w:lineRule="auto"/>
        <w:ind w:firstLine="480" w:firstLineChars="200"/>
        <w:jc w:val="left"/>
        <w:rPr>
          <w:rFonts w:hint="eastAsia" w:ascii="仿宋" w:hAnsi="仿宋" w:eastAsia="仿宋" w:cs="仿宋"/>
          <w:spacing w:val="-2"/>
          <w:highlight w:val="none"/>
        </w:rPr>
      </w:pPr>
      <w:r>
        <w:rPr>
          <w:rFonts w:hint="eastAsia" w:ascii="仿宋" w:hAnsi="仿宋" w:eastAsia="仿宋" w:cs="仿宋"/>
          <w:sz w:val="24"/>
          <w:highlight w:val="none"/>
        </w:rPr>
        <w:t>22.4保密性原则：</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应当采取必要的措施，保证评标在严格保密的情况下进行。</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22.5综合性原则：谈判小组将综合分析、评审</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的各项指标，而不以单项指标的优劣评定出</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w:t>
      </w:r>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29" w:name="_Toc2466"/>
      <w:r>
        <w:rPr>
          <w:rFonts w:hint="eastAsia" w:ascii="仿宋" w:hAnsi="仿宋" w:eastAsia="仿宋" w:cs="仿宋"/>
          <w:b/>
          <w:bCs/>
          <w:sz w:val="24"/>
          <w:highlight w:val="none"/>
        </w:rPr>
        <w:t>23.评标方法</w:t>
      </w:r>
      <w:bookmarkEnd w:id="29"/>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23.1采购代理机构将根据本项目的特点组建谈判小组，谈判小组负责对报价文件进行评审，确定成交供应商。</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23.2采购文件内容违反国家有关强制性规定的，谈判小组、竞争性谈判小组或者询价小组应当停止评审并向采购人或者采购代理机构说明情况。</w:t>
      </w:r>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30" w:name="_Toc165005975"/>
      <w:bookmarkStart w:id="31" w:name="_Toc3335"/>
      <w:r>
        <w:rPr>
          <w:rFonts w:hint="eastAsia" w:ascii="仿宋" w:hAnsi="仿宋" w:eastAsia="仿宋" w:cs="仿宋"/>
          <w:b/>
          <w:bCs/>
          <w:sz w:val="24"/>
          <w:highlight w:val="none"/>
        </w:rPr>
        <w:t>24.初步评审</w:t>
      </w:r>
      <w:bookmarkEnd w:id="30"/>
      <w:bookmarkEnd w:id="31"/>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24.1谈判小组将依据“第二章供应商须知 一说明、2合格</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、9.2资格、资质证明文件”等关键性因素确定合格供应商。</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24.2如出现下列情形之一的，视为对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没有做出实质性响应，按照无效投标处理。</w:t>
      </w:r>
    </w:p>
    <w:p>
      <w:pPr>
        <w:pStyle w:val="18"/>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不完整；</w:t>
      </w:r>
    </w:p>
    <w:p>
      <w:pPr>
        <w:pStyle w:val="18"/>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（2）未按规定报价；</w:t>
      </w:r>
    </w:p>
    <w:p>
      <w:pPr>
        <w:pStyle w:val="18"/>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（3）未按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要求提交投标保证金</w:t>
      </w:r>
      <w:r>
        <w:rPr>
          <w:rFonts w:hint="eastAsia" w:ascii="仿宋" w:hAnsi="仿宋" w:eastAsia="仿宋" w:cs="仿宋"/>
          <w:sz w:val="24"/>
          <w:highlight w:val="none"/>
          <w:lang w:val="en-US" w:eastAsia="zh-CN"/>
        </w:rPr>
        <w:t>(若有）</w:t>
      </w:r>
      <w:r>
        <w:rPr>
          <w:rFonts w:hint="eastAsia" w:ascii="仿宋" w:hAnsi="仿宋" w:eastAsia="仿宋" w:cs="仿宋"/>
          <w:sz w:val="24"/>
          <w:highlight w:val="none"/>
        </w:rPr>
        <w:t>；</w:t>
      </w:r>
    </w:p>
    <w:p>
      <w:pPr>
        <w:pStyle w:val="18"/>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未按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要求密封、签署、装订、盖章；</w:t>
      </w:r>
    </w:p>
    <w:p>
      <w:pPr>
        <w:pStyle w:val="18"/>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载明的交货时间超过</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规定的时间且不能被采购人接受；</w:t>
      </w:r>
    </w:p>
    <w:p>
      <w:pPr>
        <w:pStyle w:val="18"/>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载明的货物包装方式、检验标准和方法等不符合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w:t>
      </w:r>
    </w:p>
    <w:p>
      <w:pPr>
        <w:pStyle w:val="18"/>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（7）</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中的货物配置、技术参数明显不符合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w:t>
      </w:r>
    </w:p>
    <w:p>
      <w:pPr>
        <w:pStyle w:val="18"/>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（8）</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不参加开标仪式及询标事宜；</w:t>
      </w:r>
    </w:p>
    <w:p>
      <w:pPr>
        <w:pStyle w:val="18"/>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（9）不符合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中规定的其他实质性要求。</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24.3谈判小组将拒绝被确定为非实质性响应的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不能通过修正或撤销</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中的不符之处而使其投标成为实质性响应的投标。</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24.4谈判小组对</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的投标报价进行评审，对超出项目预算的报价和低于成本价的报价予以淘汰。谈判小组发现</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的报价明显低于其他投标报价，使得其投标报价可能低于其个别成本的，应当要求该</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作出书面说明并提供相关证明材料。</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不能合理说明或者不能提供相关证明材料，按照低于成本价竞标处理。</w:t>
      </w:r>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32" w:name="_Toc165005976"/>
      <w:bookmarkStart w:id="33" w:name="_Toc20104"/>
      <w:r>
        <w:rPr>
          <w:rFonts w:hint="eastAsia" w:ascii="仿宋" w:hAnsi="仿宋" w:eastAsia="仿宋" w:cs="仿宋"/>
          <w:b/>
          <w:bCs/>
          <w:sz w:val="24"/>
          <w:highlight w:val="none"/>
        </w:rPr>
        <w:t>25.</w:t>
      </w:r>
      <w:bookmarkEnd w:id="32"/>
      <w:r>
        <w:rPr>
          <w:rFonts w:hint="eastAsia" w:ascii="仿宋" w:hAnsi="仿宋" w:eastAsia="仿宋" w:cs="仿宋"/>
          <w:b/>
          <w:bCs/>
          <w:sz w:val="24"/>
          <w:highlight w:val="none"/>
        </w:rPr>
        <w:t>商务及服务谈判</w:t>
      </w:r>
      <w:bookmarkEnd w:id="33"/>
    </w:p>
    <w:p>
      <w:pPr>
        <w:pStyle w:val="19"/>
        <w:spacing w:line="360" w:lineRule="auto"/>
        <w:ind w:left="0" w:leftChars="0" w:firstLine="480" w:firstLineChars="200"/>
        <w:jc w:val="left"/>
        <w:rPr>
          <w:rFonts w:hint="eastAsia" w:ascii="仿宋" w:hAnsi="仿宋" w:eastAsia="仿宋" w:cs="仿宋"/>
          <w:b/>
          <w:bCs/>
          <w:sz w:val="24"/>
          <w:highlight w:val="none"/>
        </w:rPr>
      </w:pPr>
      <w:r>
        <w:rPr>
          <w:rFonts w:hint="eastAsia" w:ascii="仿宋" w:hAnsi="仿宋" w:eastAsia="仿宋" w:cs="仿宋"/>
          <w:sz w:val="24"/>
          <w:highlight w:val="none"/>
        </w:rPr>
        <w:t>谈判小组与供应商进行商务及服务谈判。</w:t>
      </w:r>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34" w:name="_Toc16297"/>
      <w:r>
        <w:rPr>
          <w:rFonts w:hint="eastAsia" w:ascii="仿宋" w:hAnsi="仿宋" w:eastAsia="仿宋" w:cs="仿宋"/>
          <w:b/>
          <w:bCs/>
          <w:sz w:val="24"/>
          <w:highlight w:val="none"/>
        </w:rPr>
        <w:t>26.特殊情况下的评标方法</w:t>
      </w:r>
      <w:bookmarkEnd w:id="34"/>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如出现供应商不符合采购文件要求导致谈判小组无法谈判时，谈判小组有权停止谈判，否决其报价。</w:t>
      </w:r>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35" w:name="_Toc16712"/>
      <w:r>
        <w:rPr>
          <w:rFonts w:hint="eastAsia" w:ascii="仿宋" w:hAnsi="仿宋" w:eastAsia="仿宋" w:cs="仿宋"/>
          <w:b/>
          <w:bCs/>
          <w:sz w:val="24"/>
          <w:highlight w:val="none"/>
        </w:rPr>
        <w:t>27.处罚</w:t>
      </w:r>
      <w:bookmarkEnd w:id="35"/>
    </w:p>
    <w:p>
      <w:pPr>
        <w:pStyle w:val="14"/>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有下列情形之一，投标保证金不予退还，并被列入不良行为记录名单。</w:t>
      </w:r>
    </w:p>
    <w:p>
      <w:pPr>
        <w:pStyle w:val="14"/>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提供的有关资格、资质证明文件不真实或提供虚假投标材料；</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在投标有效期内撤回投标；</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（3）在整个评标过程中，</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有企图影响招标结果公正性的任何活动；</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（4）以他人名义投标或者以其他方式弄虚作假，骗取成交的；</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不按要求提交成交服务费、见证费；</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不按规定签订合同；</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（7）法律、法规规定的其他情况。</w:t>
      </w:r>
    </w:p>
    <w:p>
      <w:pPr>
        <w:pStyle w:val="19"/>
        <w:spacing w:line="360" w:lineRule="auto"/>
        <w:ind w:left="0" w:leftChars="0" w:firstLine="562" w:firstLineChars="200"/>
        <w:jc w:val="left"/>
        <w:outlineLvl w:val="1"/>
        <w:rPr>
          <w:rFonts w:hint="eastAsia" w:ascii="仿宋" w:hAnsi="仿宋" w:eastAsia="仿宋" w:cs="仿宋"/>
          <w:b/>
          <w:sz w:val="28"/>
          <w:highlight w:val="none"/>
        </w:rPr>
      </w:pPr>
      <w:bookmarkStart w:id="36" w:name="_Toc7061"/>
      <w:r>
        <w:rPr>
          <w:rFonts w:hint="eastAsia" w:ascii="仿宋" w:hAnsi="仿宋" w:eastAsia="仿宋" w:cs="仿宋"/>
          <w:b/>
          <w:sz w:val="28"/>
          <w:highlight w:val="none"/>
        </w:rPr>
        <w:t>六、签订合同</w:t>
      </w:r>
      <w:bookmarkEnd w:id="36"/>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37" w:name="_Toc5278"/>
      <w:r>
        <w:rPr>
          <w:rFonts w:hint="eastAsia" w:ascii="仿宋" w:hAnsi="仿宋" w:eastAsia="仿宋" w:cs="仿宋"/>
          <w:b/>
          <w:bCs/>
          <w:sz w:val="24"/>
          <w:highlight w:val="none"/>
        </w:rPr>
        <w:t>28.接受和拒绝任何或所有投标的权力</w:t>
      </w:r>
      <w:bookmarkEnd w:id="37"/>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为维护国家公共利益，</w:t>
      </w:r>
      <w:r>
        <w:rPr>
          <w:rFonts w:hint="eastAsia" w:ascii="仿宋" w:hAnsi="仿宋" w:eastAsia="仿宋" w:cs="仿宋"/>
          <w:sz w:val="24"/>
          <w:highlight w:val="none"/>
          <w:lang w:eastAsia="zh-CN"/>
        </w:rPr>
        <w:t>采购人</w:t>
      </w:r>
      <w:r>
        <w:rPr>
          <w:rFonts w:hint="eastAsia" w:ascii="仿宋" w:hAnsi="仿宋" w:eastAsia="仿宋" w:cs="仿宋"/>
          <w:sz w:val="24"/>
          <w:highlight w:val="none"/>
        </w:rPr>
        <w:t>在授予合同之前可依法做出选择或拒绝任何或全部投标的决定。</w:t>
      </w:r>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38" w:name="_Toc24930"/>
      <w:r>
        <w:rPr>
          <w:rFonts w:hint="eastAsia" w:ascii="仿宋" w:hAnsi="仿宋" w:eastAsia="仿宋" w:cs="仿宋"/>
          <w:b/>
          <w:bCs/>
          <w:sz w:val="24"/>
          <w:highlight w:val="none"/>
        </w:rPr>
        <w:t>29.成交通知书</w:t>
      </w:r>
      <w:bookmarkEnd w:id="38"/>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（1）确定成交结果后，在投标有效期内，</w:t>
      </w:r>
      <w:r>
        <w:rPr>
          <w:rFonts w:hint="eastAsia" w:ascii="仿宋" w:hAnsi="仿宋" w:eastAsia="仿宋" w:cs="仿宋"/>
          <w:sz w:val="24"/>
          <w:highlight w:val="none"/>
          <w:lang w:eastAsia="zh-CN"/>
        </w:rPr>
        <w:t>采购人</w:t>
      </w:r>
      <w:r>
        <w:rPr>
          <w:rFonts w:hint="eastAsia" w:ascii="仿宋" w:hAnsi="仿宋" w:eastAsia="仿宋" w:cs="仿宋"/>
          <w:sz w:val="24"/>
          <w:highlight w:val="none"/>
        </w:rPr>
        <w:t>将向</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签发《成交通知书》。</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（2）成交通知书是合同的一个组成部分。</w:t>
      </w:r>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39" w:name="_Toc9319"/>
      <w:r>
        <w:rPr>
          <w:rFonts w:hint="eastAsia" w:ascii="仿宋" w:hAnsi="仿宋" w:eastAsia="仿宋" w:cs="仿宋"/>
          <w:b/>
          <w:bCs/>
          <w:sz w:val="24"/>
          <w:highlight w:val="none"/>
        </w:rPr>
        <w:t>30.签订合同</w:t>
      </w:r>
      <w:bookmarkEnd w:id="39"/>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（1）成交通知书发出之日起</w:t>
      </w:r>
      <w:r>
        <w:rPr>
          <w:rFonts w:hint="eastAsia" w:ascii="仿宋" w:hAnsi="仿宋" w:eastAsia="仿宋" w:cs="仿宋"/>
          <w:sz w:val="24"/>
          <w:highlight w:val="none"/>
          <w:lang w:val="en-US" w:eastAsia="zh-CN"/>
        </w:rPr>
        <w:t>10个工作</w:t>
      </w:r>
      <w:r>
        <w:rPr>
          <w:rFonts w:hint="eastAsia" w:ascii="仿宋" w:hAnsi="仿宋" w:eastAsia="仿宋" w:cs="仿宋"/>
          <w:sz w:val="24"/>
          <w:highlight w:val="none"/>
        </w:rPr>
        <w:t>日内，按照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确定的事项签订合同。</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以及评标过程中的有关澄清、承诺文件均为合同的组成部分。</w:t>
      </w:r>
    </w:p>
    <w:p>
      <w:pPr>
        <w:pStyle w:val="19"/>
        <w:spacing w:line="360" w:lineRule="auto"/>
        <w:ind w:left="0" w:leftChars="0" w:firstLine="482" w:firstLineChars="200"/>
        <w:jc w:val="left"/>
        <w:outlineLvl w:val="2"/>
        <w:rPr>
          <w:rFonts w:hint="eastAsia" w:ascii="仿宋" w:hAnsi="仿宋" w:eastAsia="仿宋" w:cs="仿宋"/>
          <w:sz w:val="24"/>
          <w:highlight w:val="none"/>
        </w:rPr>
      </w:pPr>
      <w:bookmarkStart w:id="40" w:name="_Toc11412"/>
      <w:r>
        <w:rPr>
          <w:rFonts w:hint="eastAsia" w:ascii="仿宋" w:hAnsi="仿宋" w:eastAsia="仿宋" w:cs="仿宋"/>
          <w:b/>
          <w:bCs/>
          <w:sz w:val="24"/>
          <w:highlight w:val="none"/>
        </w:rPr>
        <w:t>31.履约保证金：</w:t>
      </w:r>
      <w:bookmarkEnd w:id="40"/>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lang w:eastAsia="zh-CN"/>
        </w:rPr>
        <w:t>按采购人要求</w:t>
      </w:r>
      <w:r>
        <w:rPr>
          <w:rFonts w:hint="eastAsia" w:ascii="仿宋" w:hAnsi="仿宋" w:eastAsia="仿宋" w:cs="仿宋"/>
          <w:sz w:val="24"/>
          <w:highlight w:val="none"/>
        </w:rPr>
        <w:t>。</w:t>
      </w:r>
    </w:p>
    <w:p>
      <w:pPr>
        <w:pStyle w:val="19"/>
        <w:spacing w:line="360" w:lineRule="auto"/>
        <w:ind w:left="98" w:leftChars="0" w:firstLine="281" w:firstLineChars="100"/>
        <w:jc w:val="left"/>
        <w:outlineLvl w:val="1"/>
        <w:rPr>
          <w:rFonts w:hint="eastAsia" w:ascii="仿宋" w:hAnsi="仿宋" w:eastAsia="仿宋" w:cs="仿宋"/>
          <w:b/>
          <w:sz w:val="28"/>
          <w:highlight w:val="none"/>
        </w:rPr>
      </w:pPr>
      <w:bookmarkStart w:id="41" w:name="_Toc30925"/>
      <w:r>
        <w:rPr>
          <w:rFonts w:hint="eastAsia" w:ascii="仿宋" w:hAnsi="仿宋" w:eastAsia="仿宋" w:cs="仿宋"/>
          <w:b/>
          <w:sz w:val="28"/>
          <w:highlight w:val="none"/>
        </w:rPr>
        <w:t>七、成交服务费与见证费</w:t>
      </w:r>
      <w:bookmarkEnd w:id="41"/>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42" w:name="_Toc7320"/>
      <w:r>
        <w:rPr>
          <w:rFonts w:hint="eastAsia" w:ascii="仿宋" w:hAnsi="仿宋" w:eastAsia="仿宋" w:cs="仿宋"/>
          <w:b/>
          <w:bCs/>
          <w:sz w:val="24"/>
          <w:highlight w:val="none"/>
        </w:rPr>
        <w:t>32.成交服务费</w:t>
      </w:r>
      <w:bookmarkEnd w:id="42"/>
    </w:p>
    <w:p>
      <w:pPr>
        <w:pStyle w:val="18"/>
        <w:wordWrap w:val="0"/>
        <w:spacing w:after="0" w:line="480" w:lineRule="exact"/>
        <w:ind w:left="571" w:leftChars="272"/>
        <w:rPr>
          <w:rFonts w:hint="eastAsia" w:ascii="仿宋" w:hAnsi="仿宋" w:eastAsia="仿宋" w:cs="仿宋"/>
          <w:sz w:val="24"/>
          <w:highlight w:val="none"/>
        </w:rPr>
      </w:pPr>
      <w:r>
        <w:rPr>
          <w:rFonts w:hint="eastAsia" w:ascii="仿宋" w:hAnsi="仿宋" w:eastAsia="仿宋" w:cs="仿宋"/>
          <w:sz w:val="24"/>
          <w:highlight w:val="none"/>
        </w:rPr>
        <w:t>成交供应商须在成交公告发出后5个工作日内向采购代理机构缴纳成交服务费，成交服务费以成交价格为计费基础，收费标准参照“计价格[2002]1980号”规定的70%收取。</w:t>
      </w:r>
    </w:p>
    <w:p>
      <w:pPr>
        <w:pStyle w:val="18"/>
        <w:wordWrap w:val="0"/>
        <w:spacing w:after="0" w:line="480" w:lineRule="exact"/>
        <w:ind w:left="571" w:leftChars="272"/>
        <w:rPr>
          <w:rFonts w:hint="eastAsia" w:ascii="仿宋" w:hAnsi="仿宋" w:eastAsia="仿宋" w:cs="仿宋"/>
          <w:sz w:val="24"/>
          <w:highlight w:val="none"/>
        </w:rPr>
      </w:pPr>
      <w:r>
        <w:rPr>
          <w:rFonts w:hint="eastAsia" w:ascii="仿宋" w:hAnsi="仿宋" w:eastAsia="仿宋" w:cs="仿宋"/>
          <w:sz w:val="24"/>
          <w:highlight w:val="none"/>
        </w:rPr>
        <w:t>开户名称：山东华仁永旺招标有限公司</w:t>
      </w:r>
    </w:p>
    <w:p>
      <w:pPr>
        <w:pStyle w:val="18"/>
        <w:wordWrap w:val="0"/>
        <w:spacing w:after="0" w:line="480" w:lineRule="exact"/>
        <w:ind w:left="571" w:leftChars="272"/>
        <w:rPr>
          <w:rFonts w:hint="eastAsia" w:ascii="仿宋" w:hAnsi="仿宋" w:eastAsia="仿宋" w:cs="仿宋"/>
          <w:sz w:val="24"/>
          <w:highlight w:val="none"/>
        </w:rPr>
      </w:pPr>
      <w:r>
        <w:rPr>
          <w:rFonts w:hint="eastAsia" w:ascii="仿宋" w:hAnsi="仿宋" w:eastAsia="仿宋" w:cs="仿宋"/>
          <w:sz w:val="24"/>
          <w:highlight w:val="none"/>
        </w:rPr>
        <w:t>开户银行：中国工商银行济南高新支行</w:t>
      </w:r>
    </w:p>
    <w:p>
      <w:pPr>
        <w:pStyle w:val="18"/>
        <w:wordWrap w:val="0"/>
        <w:spacing w:after="0" w:line="480" w:lineRule="exact"/>
        <w:ind w:left="571" w:leftChars="272"/>
        <w:rPr>
          <w:rFonts w:hint="eastAsia" w:ascii="仿宋" w:hAnsi="仿宋" w:eastAsia="仿宋" w:cs="仿宋"/>
          <w:b/>
          <w:bCs/>
          <w:sz w:val="24"/>
          <w:highlight w:val="none"/>
        </w:rPr>
      </w:pPr>
      <w:r>
        <w:rPr>
          <w:rFonts w:hint="eastAsia" w:ascii="仿宋" w:hAnsi="仿宋" w:eastAsia="仿宋" w:cs="仿宋"/>
          <w:sz w:val="24"/>
          <w:highlight w:val="none"/>
        </w:rPr>
        <w:t>账    号：1602023609200296250。</w:t>
      </w:r>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43" w:name="_Toc13250"/>
      <w:r>
        <w:rPr>
          <w:rFonts w:hint="eastAsia" w:ascii="仿宋" w:hAnsi="仿宋" w:eastAsia="仿宋" w:cs="仿宋"/>
          <w:b/>
          <w:bCs/>
          <w:sz w:val="24"/>
          <w:highlight w:val="none"/>
        </w:rPr>
        <w:t>33.见证费</w:t>
      </w:r>
      <w:bookmarkEnd w:id="43"/>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成交供应商按成交金额1‰向公证机关/见证律师交纳公证费/见证律师费，(不足500元，按500元收取,上限1000元/每包）。</w:t>
      </w:r>
    </w:p>
    <w:p>
      <w:pPr>
        <w:pStyle w:val="19"/>
        <w:spacing w:line="360" w:lineRule="auto"/>
        <w:ind w:left="0" w:leftChars="0" w:firstLine="562" w:firstLineChars="200"/>
        <w:jc w:val="left"/>
        <w:outlineLvl w:val="1"/>
        <w:rPr>
          <w:rFonts w:hint="eastAsia" w:ascii="仿宋" w:hAnsi="仿宋" w:eastAsia="仿宋" w:cs="仿宋"/>
          <w:b/>
          <w:sz w:val="28"/>
          <w:highlight w:val="none"/>
        </w:rPr>
      </w:pPr>
      <w:bookmarkStart w:id="44" w:name="_Toc23940660"/>
      <w:bookmarkStart w:id="45" w:name="_Toc525889768"/>
      <w:bookmarkStart w:id="46" w:name="_Toc21197"/>
      <w:bookmarkStart w:id="47" w:name="_Toc300568494"/>
      <w:bookmarkStart w:id="48" w:name="_Toc312917744"/>
      <w:bookmarkStart w:id="49" w:name="_Toc17114296"/>
      <w:r>
        <w:rPr>
          <w:rFonts w:hint="eastAsia" w:ascii="仿宋" w:hAnsi="仿宋" w:eastAsia="仿宋" w:cs="仿宋"/>
          <w:b/>
          <w:sz w:val="28"/>
          <w:highlight w:val="none"/>
        </w:rPr>
        <w:t>八、处罚、质疑</w:t>
      </w:r>
      <w:bookmarkEnd w:id="44"/>
      <w:bookmarkEnd w:id="45"/>
      <w:bookmarkEnd w:id="46"/>
      <w:bookmarkEnd w:id="47"/>
      <w:bookmarkEnd w:id="48"/>
      <w:bookmarkEnd w:id="49"/>
      <w:bookmarkStart w:id="50" w:name="_Toc300568495"/>
      <w:bookmarkStart w:id="51" w:name="_Toc312917745"/>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52" w:name="_Toc525889769"/>
      <w:bookmarkStart w:id="53" w:name="_Toc17114297"/>
      <w:bookmarkStart w:id="54" w:name="_Toc23940661"/>
      <w:bookmarkStart w:id="55" w:name="_Toc17285"/>
      <w:r>
        <w:rPr>
          <w:rFonts w:hint="eastAsia" w:ascii="仿宋" w:hAnsi="仿宋" w:eastAsia="仿宋" w:cs="仿宋"/>
          <w:b/>
          <w:bCs/>
          <w:sz w:val="24"/>
          <w:highlight w:val="none"/>
        </w:rPr>
        <w:t>34.处罚</w:t>
      </w:r>
      <w:bookmarkEnd w:id="50"/>
      <w:bookmarkEnd w:id="51"/>
      <w:bookmarkEnd w:id="52"/>
      <w:bookmarkEnd w:id="53"/>
      <w:bookmarkEnd w:id="54"/>
      <w:bookmarkEnd w:id="55"/>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发生下列情况之一，将被列入不良行为记录名单，</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今后参与同类政府采购项目的机会可能会受到影响：</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（1）开标后在投标有效期内，</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撤回其投标；</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未按本</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规定签订政府采购合同；</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与采购人订立背离合同实质性内容的其它协议；</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将成交项目转让给他人，或者在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中未说明，且未经山东华仁永旺招标有限公司和采购人同意，将成交项目分包给他人的；</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其它未按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规定和合同约定履行义务的行为。</w:t>
      </w:r>
      <w:bookmarkStart w:id="56" w:name="_Toc300568496"/>
      <w:bookmarkStart w:id="57" w:name="_Toc312917746"/>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58" w:name="_Toc17114298"/>
      <w:bookmarkStart w:id="59" w:name="_Toc23940662"/>
      <w:bookmarkStart w:id="60" w:name="_Toc21892"/>
      <w:bookmarkStart w:id="61" w:name="_Toc525889770"/>
      <w:r>
        <w:rPr>
          <w:rFonts w:hint="eastAsia" w:ascii="仿宋" w:hAnsi="仿宋" w:eastAsia="仿宋" w:cs="仿宋"/>
          <w:b/>
          <w:bCs/>
          <w:sz w:val="24"/>
          <w:highlight w:val="none"/>
        </w:rPr>
        <w:t>24.质疑</w:t>
      </w:r>
      <w:bookmarkEnd w:id="56"/>
      <w:bookmarkEnd w:id="57"/>
      <w:bookmarkEnd w:id="58"/>
      <w:bookmarkEnd w:id="59"/>
      <w:bookmarkEnd w:id="60"/>
      <w:bookmarkEnd w:id="61"/>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对招标活动事项有疑问的，可以向采购人或山东华仁永旺招标有限公司提出询问，采购人或山东华仁永旺招标有限公司将依法作出答复，但答复的内容不涉及商业秘密；</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招标过程和成交结果使自己的合法权益受到损害的，可以在知道或者应当知道其权益受到损害之日起7个工作日内（以公布成交结果的日期为准），以书面形式向山东华仁永旺招标有限公司提出质疑，超过期限不予受理。</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24.3质疑文件应包括以下主要内容，并按照“谁主张、谁举证”的原则，附上相关证明材料。否则，山东华仁永旺招标有限公司不予受理：</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（1）质疑项目名称、项目编号、招标公告发布时间、开标时间；</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（2）具体的质疑事项及法律依据（具体条款）；</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（3）质疑相关证明文件或证明材料，如果涉及到产品功能或技术指标的，应出具相关制造商的证明文件；</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（4）质疑</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名称、地址、联系方式（包括手机、传真号码）；</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（5）法定代表人签署本人姓名或印盖本人姓名章并加盖单位公章，或法定代表人特别授权加盖单位公章，并由参加招标项目的授权代表签署本人姓名或印盖本人姓名章等。</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24.4</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不得虚假质疑和恶意质疑，并对质疑内容的真实性承担责任。</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或者其他利害关系人通过捏造事实、伪造证明材料等方式提出异议或投诉，阻碍招标活动正常进行的，属于严重不良行为，山东华仁永旺招标有限公司将提请财政部门列入不良行为记录名单，并依法予以处罚。</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24.5山东华仁永旺招标有限公司在收到</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的书面质疑后将及时组织调查核实，在7个工作日内作出答复，并以书面形式通知质疑</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和其他有关投标</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，答复的内容不涉及商业秘密。</w:t>
      </w:r>
    </w:p>
    <w:p>
      <w:pPr>
        <w:pStyle w:val="19"/>
        <w:spacing w:line="360" w:lineRule="auto"/>
        <w:ind w:left="0" w:leftChars="0" w:firstLine="562" w:firstLineChars="200"/>
        <w:jc w:val="left"/>
        <w:outlineLvl w:val="1"/>
        <w:rPr>
          <w:rFonts w:hint="eastAsia" w:ascii="仿宋" w:hAnsi="仿宋" w:eastAsia="仿宋" w:cs="仿宋"/>
          <w:b/>
          <w:sz w:val="28"/>
          <w:highlight w:val="none"/>
        </w:rPr>
      </w:pPr>
      <w:bookmarkStart w:id="62" w:name="_Toc17114299"/>
      <w:bookmarkStart w:id="63" w:name="_Toc18940"/>
      <w:bookmarkStart w:id="64" w:name="_Toc23940663"/>
      <w:bookmarkStart w:id="65" w:name="_Toc300568497"/>
      <w:bookmarkStart w:id="66" w:name="_Toc312917747"/>
      <w:bookmarkStart w:id="67" w:name="_Toc525889771"/>
      <w:r>
        <w:rPr>
          <w:rFonts w:hint="eastAsia" w:ascii="仿宋" w:hAnsi="仿宋" w:eastAsia="仿宋" w:cs="仿宋"/>
          <w:b/>
          <w:sz w:val="28"/>
          <w:highlight w:val="none"/>
        </w:rPr>
        <w:t>九、保密和披露</w:t>
      </w:r>
      <w:bookmarkEnd w:id="62"/>
      <w:bookmarkEnd w:id="63"/>
      <w:bookmarkEnd w:id="64"/>
      <w:bookmarkEnd w:id="65"/>
      <w:bookmarkEnd w:id="66"/>
      <w:bookmarkEnd w:id="67"/>
      <w:bookmarkStart w:id="68" w:name="_Toc300568498"/>
      <w:bookmarkStart w:id="69" w:name="_Toc312917748"/>
    </w:p>
    <w:p>
      <w:pPr>
        <w:pStyle w:val="19"/>
        <w:spacing w:line="360" w:lineRule="auto"/>
        <w:ind w:left="0" w:leftChars="0" w:firstLine="482" w:firstLineChars="200"/>
        <w:jc w:val="left"/>
        <w:outlineLvl w:val="2"/>
        <w:rPr>
          <w:rFonts w:hint="eastAsia" w:ascii="仿宋" w:hAnsi="仿宋" w:eastAsia="仿宋" w:cs="仿宋"/>
          <w:b/>
          <w:bCs/>
          <w:sz w:val="24"/>
          <w:highlight w:val="none"/>
        </w:rPr>
      </w:pPr>
      <w:bookmarkStart w:id="70" w:name="_Toc17114300"/>
      <w:bookmarkStart w:id="71" w:name="_Toc525889772"/>
      <w:bookmarkStart w:id="72" w:name="_Toc10342"/>
      <w:bookmarkStart w:id="73" w:name="_Toc23940664"/>
      <w:r>
        <w:rPr>
          <w:rFonts w:hint="eastAsia" w:ascii="仿宋" w:hAnsi="仿宋" w:eastAsia="仿宋" w:cs="仿宋"/>
          <w:b/>
          <w:bCs/>
          <w:sz w:val="24"/>
          <w:highlight w:val="none"/>
        </w:rPr>
        <w:t>25.保密和披露</w:t>
      </w:r>
      <w:bookmarkEnd w:id="68"/>
      <w:bookmarkEnd w:id="69"/>
      <w:bookmarkEnd w:id="70"/>
      <w:bookmarkEnd w:id="71"/>
      <w:bookmarkEnd w:id="72"/>
      <w:bookmarkEnd w:id="73"/>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自领取</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之日起，须承担本采购项目下保密义务，不得将因本次采购获得的信息向其他人外传。</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（2）山东华仁永旺招标有限公司有权将</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提供的所有资料向其他政府部门或有关的非政府机构负责评标的人员或与评标有关的人员披露。</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（3）在下列情形下：当发布成交公告和其它公告时，当国家机关调查、审查、审计时，以及其他符合法律规定的情形下，无须事先征求</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或成交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同意而可以披露关于采购过程、合同文本、签署情况的资料、</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或成交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的名称及地址、采购内容的有关信息以及补充条款等。对任何已经公布过的内容或与之内容相同的资料无须再承担保密责任。</w:t>
      </w:r>
    </w:p>
    <w:p>
      <w:pPr>
        <w:pStyle w:val="19"/>
        <w:spacing w:line="360" w:lineRule="auto"/>
        <w:ind w:left="0" w:leftChars="0" w:firstLine="562" w:firstLineChars="200"/>
        <w:jc w:val="left"/>
        <w:outlineLvl w:val="1"/>
        <w:rPr>
          <w:rFonts w:hint="eastAsia" w:ascii="仿宋" w:hAnsi="仿宋" w:eastAsia="仿宋" w:cs="仿宋"/>
          <w:b/>
          <w:bCs/>
          <w:kern w:val="0"/>
          <w:sz w:val="28"/>
          <w:szCs w:val="28"/>
          <w:highlight w:val="none"/>
        </w:rPr>
      </w:pPr>
      <w:bookmarkStart w:id="74" w:name="_Toc23940665"/>
      <w:bookmarkStart w:id="75" w:name="_Toc17114301"/>
      <w:bookmarkStart w:id="76" w:name="_Toc525889773"/>
      <w:bookmarkStart w:id="77" w:name="_Toc26662"/>
      <w:r>
        <w:rPr>
          <w:rFonts w:hint="eastAsia" w:ascii="仿宋" w:hAnsi="仿宋" w:eastAsia="仿宋" w:cs="仿宋"/>
          <w:b/>
          <w:sz w:val="28"/>
          <w:highlight w:val="none"/>
        </w:rPr>
        <w:t>十、</w:t>
      </w:r>
      <w:bookmarkEnd w:id="74"/>
      <w:bookmarkEnd w:id="75"/>
      <w:bookmarkEnd w:id="76"/>
      <w:bookmarkStart w:id="78" w:name="_Toc502705718"/>
      <w:bookmarkStart w:id="79" w:name="_Toc27145"/>
      <w:r>
        <w:rPr>
          <w:rFonts w:hint="eastAsia" w:ascii="仿宋" w:hAnsi="仿宋" w:eastAsia="仿宋" w:cs="仿宋"/>
          <w:b/>
          <w:bCs/>
          <w:kern w:val="0"/>
          <w:sz w:val="28"/>
          <w:szCs w:val="28"/>
          <w:highlight w:val="none"/>
        </w:rPr>
        <w:t>采购政策</w:t>
      </w:r>
      <w:bookmarkEnd w:id="77"/>
      <w:bookmarkEnd w:id="78"/>
      <w:bookmarkEnd w:id="79"/>
    </w:p>
    <w:p>
      <w:pPr>
        <w:spacing w:line="360" w:lineRule="auto"/>
        <w:ind w:firstLine="482" w:firstLineChars="200"/>
        <w:rPr>
          <w:rFonts w:hint="eastAsia" w:ascii="仿宋" w:hAnsi="仿宋" w:eastAsia="仿宋" w:cs="仿宋"/>
          <w:b/>
          <w:kern w:val="0"/>
          <w:sz w:val="24"/>
          <w:highlight w:val="none"/>
        </w:rPr>
      </w:pPr>
      <w:bookmarkStart w:id="80" w:name="_Toc502705719"/>
      <w:r>
        <w:rPr>
          <w:rFonts w:hint="eastAsia" w:ascii="仿宋" w:hAnsi="仿宋" w:eastAsia="仿宋" w:cs="仿宋"/>
          <w:b/>
          <w:kern w:val="0"/>
          <w:sz w:val="24"/>
          <w:highlight w:val="none"/>
        </w:rPr>
        <w:t>26.节能产品优惠办法</w:t>
      </w:r>
      <w:bookmarkEnd w:id="80"/>
    </w:p>
    <w:p>
      <w:pPr>
        <w:spacing w:line="360" w:lineRule="auto"/>
        <w:ind w:firstLine="480" w:firstLineChars="200"/>
        <w:rPr>
          <w:rFonts w:hint="eastAsia" w:ascii="仿宋" w:hAnsi="仿宋" w:eastAsia="仿宋" w:cs="仿宋"/>
          <w:kern w:val="0"/>
          <w:sz w:val="24"/>
          <w:highlight w:val="none"/>
        </w:rPr>
      </w:pPr>
      <w:bookmarkStart w:id="81" w:name="_Toc502705720"/>
      <w:r>
        <w:rPr>
          <w:rFonts w:hint="eastAsia" w:ascii="仿宋" w:hAnsi="仿宋" w:eastAsia="仿宋" w:cs="仿宋"/>
          <w:kern w:val="0"/>
          <w:sz w:val="24"/>
          <w:highlight w:val="none"/>
        </w:rPr>
        <w:t>26.1根据《山东省节能环保产品采购评审办法》【鲁财库〔2007〕32 号】的规定，本项目磋商小组在综合评审时将给予所属节能产品在满足基本技术条件的前提下，对价格项目按下列规则给予一定幅度的加分。在价格评标项中，对节能产品分别给予价格评标总分值的 5％的加分；</w:t>
      </w:r>
      <w:bookmarkEnd w:id="81"/>
    </w:p>
    <w:p>
      <w:pPr>
        <w:spacing w:line="360" w:lineRule="auto"/>
        <w:ind w:firstLine="480" w:firstLineChars="200"/>
        <w:rPr>
          <w:rFonts w:hint="eastAsia" w:ascii="仿宋" w:hAnsi="仿宋" w:eastAsia="仿宋" w:cs="仿宋"/>
          <w:kern w:val="0"/>
          <w:sz w:val="24"/>
          <w:highlight w:val="none"/>
        </w:rPr>
      </w:pPr>
      <w:bookmarkStart w:id="82" w:name="_Toc502705721"/>
      <w:r>
        <w:rPr>
          <w:rFonts w:hint="eastAsia" w:ascii="仿宋" w:hAnsi="仿宋" w:eastAsia="仿宋" w:cs="仿宋"/>
          <w:kern w:val="0"/>
          <w:sz w:val="24"/>
          <w:highlight w:val="none"/>
        </w:rPr>
        <w:t>具体计算方式为：节能产品的价格评标分值=价格得分+价格得分*节能产品报价/投标报价*扣除比例；</w:t>
      </w:r>
      <w:bookmarkEnd w:id="82"/>
    </w:p>
    <w:p>
      <w:pPr>
        <w:spacing w:line="360" w:lineRule="auto"/>
        <w:ind w:firstLine="480" w:firstLineChars="200"/>
        <w:rPr>
          <w:rFonts w:hint="eastAsia" w:ascii="仿宋" w:hAnsi="仿宋" w:eastAsia="仿宋" w:cs="仿宋"/>
          <w:kern w:val="0"/>
          <w:sz w:val="24"/>
          <w:highlight w:val="none"/>
        </w:rPr>
      </w:pPr>
      <w:bookmarkStart w:id="83" w:name="_Toc502705724"/>
      <w:r>
        <w:rPr>
          <w:rFonts w:hint="eastAsia" w:ascii="仿宋" w:hAnsi="仿宋" w:eastAsia="仿宋" w:cs="仿宋"/>
          <w:kern w:val="0"/>
          <w:sz w:val="24"/>
          <w:highlight w:val="none"/>
        </w:rPr>
        <w:t>26.2供应商所投产品如属于财政部、国家发展和改革委员会制定的最新《节能产品采购清单》中的产品，应在报价文件显著位置列出某项/某些产品属于节能产品，并列明节能产品的生产厂家及产品品牌、型号；未按要求列明的，将不给予价格扣除的政策优惠。</w:t>
      </w:r>
      <w:bookmarkEnd w:id="83"/>
    </w:p>
    <w:p>
      <w:pPr>
        <w:spacing w:line="360" w:lineRule="auto"/>
        <w:ind w:firstLine="480" w:firstLineChars="200"/>
        <w:rPr>
          <w:rFonts w:hint="eastAsia" w:ascii="仿宋" w:hAnsi="仿宋" w:eastAsia="仿宋" w:cs="仿宋"/>
          <w:kern w:val="0"/>
          <w:sz w:val="24"/>
          <w:highlight w:val="none"/>
        </w:rPr>
      </w:pPr>
      <w:bookmarkStart w:id="84" w:name="_Toc502705725"/>
      <w:r>
        <w:rPr>
          <w:rFonts w:hint="eastAsia" w:ascii="仿宋" w:hAnsi="仿宋" w:eastAsia="仿宋" w:cs="仿宋"/>
          <w:kern w:val="0"/>
          <w:sz w:val="24"/>
          <w:highlight w:val="none"/>
        </w:rPr>
        <w:t>26.3如发现投标供应商不如实填写、列明的，如中标将取消成交资格；同时采购人及代理机构有权向行政监督部门申请将其列入不诚信供应商名单并停止其参与一定期限的采购活动。</w:t>
      </w:r>
      <w:bookmarkEnd w:id="84"/>
    </w:p>
    <w:p>
      <w:pPr>
        <w:spacing w:line="360" w:lineRule="auto"/>
        <w:ind w:firstLine="480" w:firstLineChars="200"/>
        <w:rPr>
          <w:rFonts w:hint="eastAsia" w:ascii="仿宋" w:hAnsi="仿宋" w:eastAsia="仿宋" w:cs="仿宋"/>
          <w:kern w:val="0"/>
          <w:sz w:val="24"/>
          <w:highlight w:val="none"/>
        </w:rPr>
      </w:pPr>
      <w:bookmarkStart w:id="85" w:name="_Toc502705726"/>
      <w:r>
        <w:rPr>
          <w:rFonts w:hint="eastAsia" w:ascii="仿宋" w:hAnsi="仿宋" w:eastAsia="仿宋" w:cs="仿宋"/>
          <w:kern w:val="0"/>
          <w:sz w:val="24"/>
          <w:highlight w:val="none"/>
        </w:rPr>
        <w:t>26.4评标价格仅为评定价格，不作为最终的中标价格。</w:t>
      </w:r>
      <w:bookmarkEnd w:id="85"/>
      <w:bookmarkStart w:id="86" w:name="_Toc502705727"/>
    </w:p>
    <w:p>
      <w:pPr>
        <w:spacing w:line="360" w:lineRule="auto"/>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27.环境标志产品优惠办法</w:t>
      </w:r>
      <w:bookmarkEnd w:id="86"/>
    </w:p>
    <w:p>
      <w:pPr>
        <w:spacing w:line="360" w:lineRule="auto"/>
        <w:ind w:firstLine="480" w:firstLineChars="200"/>
        <w:rPr>
          <w:rFonts w:hint="eastAsia" w:ascii="仿宋" w:hAnsi="仿宋" w:eastAsia="仿宋" w:cs="仿宋"/>
          <w:kern w:val="0"/>
          <w:sz w:val="24"/>
          <w:highlight w:val="none"/>
        </w:rPr>
      </w:pPr>
      <w:bookmarkStart w:id="87" w:name="_Toc502705728"/>
      <w:r>
        <w:rPr>
          <w:rFonts w:hint="eastAsia" w:ascii="仿宋" w:hAnsi="仿宋" w:eastAsia="仿宋" w:cs="仿宋"/>
          <w:kern w:val="0"/>
          <w:sz w:val="24"/>
          <w:highlight w:val="none"/>
        </w:rPr>
        <w:t>27.1根据根据《山东省节能环保产品采购评审办法》【鲁财库〔2007〕32 号】的规定，本项目磋商小组在综合评审时将给予所属环境标志产品在满足基本技术条件的前提下，对价格项目按下列规则给予一定幅度的加分。</w:t>
      </w:r>
      <w:bookmarkEnd w:id="87"/>
    </w:p>
    <w:p>
      <w:pPr>
        <w:spacing w:line="360" w:lineRule="auto"/>
        <w:ind w:firstLine="480" w:firstLineChars="200"/>
        <w:rPr>
          <w:rFonts w:hint="eastAsia" w:ascii="仿宋" w:hAnsi="仿宋" w:eastAsia="仿宋" w:cs="仿宋"/>
          <w:kern w:val="0"/>
          <w:sz w:val="24"/>
          <w:highlight w:val="none"/>
        </w:rPr>
      </w:pPr>
      <w:bookmarkStart w:id="88" w:name="_Toc502705729"/>
      <w:r>
        <w:rPr>
          <w:rFonts w:hint="eastAsia" w:ascii="仿宋" w:hAnsi="仿宋" w:eastAsia="仿宋" w:cs="仿宋"/>
          <w:kern w:val="0"/>
          <w:sz w:val="24"/>
          <w:highlight w:val="none"/>
        </w:rPr>
        <w:t>在价格评标项中，对环保产品分别给予价格评标总分值的 5％的加分；</w:t>
      </w:r>
      <w:bookmarkEnd w:id="88"/>
    </w:p>
    <w:p>
      <w:pPr>
        <w:spacing w:line="360" w:lineRule="auto"/>
        <w:ind w:firstLine="480" w:firstLineChars="200"/>
        <w:rPr>
          <w:rFonts w:hint="eastAsia" w:ascii="仿宋" w:hAnsi="仿宋" w:eastAsia="仿宋" w:cs="仿宋"/>
          <w:kern w:val="0"/>
          <w:sz w:val="24"/>
          <w:highlight w:val="none"/>
        </w:rPr>
      </w:pPr>
      <w:bookmarkStart w:id="89" w:name="_Toc502705730"/>
      <w:r>
        <w:rPr>
          <w:rFonts w:hint="eastAsia" w:ascii="仿宋" w:hAnsi="仿宋" w:eastAsia="仿宋" w:cs="仿宋"/>
          <w:kern w:val="0"/>
          <w:sz w:val="24"/>
          <w:highlight w:val="none"/>
        </w:rPr>
        <w:t>具体计算方式为：环保产品的价格评标分值=价格得分+价格得分*环保产品报价/投标报价*扣除比例；</w:t>
      </w:r>
      <w:bookmarkEnd w:id="89"/>
    </w:p>
    <w:p>
      <w:pPr>
        <w:spacing w:line="360" w:lineRule="auto"/>
        <w:ind w:firstLine="480" w:firstLineChars="200"/>
        <w:rPr>
          <w:rFonts w:hint="eastAsia" w:ascii="仿宋" w:hAnsi="仿宋" w:eastAsia="仿宋" w:cs="仿宋"/>
          <w:kern w:val="0"/>
          <w:sz w:val="24"/>
          <w:highlight w:val="none"/>
        </w:rPr>
      </w:pPr>
      <w:bookmarkStart w:id="90" w:name="_Toc502705733"/>
      <w:r>
        <w:rPr>
          <w:rFonts w:hint="eastAsia" w:ascii="仿宋" w:hAnsi="仿宋" w:eastAsia="仿宋" w:cs="仿宋"/>
          <w:kern w:val="0"/>
          <w:sz w:val="24"/>
          <w:highlight w:val="none"/>
        </w:rPr>
        <w:t>27.2供应商所投产品如属于财政部、国家环保总局制定的最新《环境标志产品采购清单》中的产品，应在报价文件显著位置列出某项/某些产品属于环境标志产品，并列明节能产品的生产厂家及产品品牌、型号；未按要求列明的，将不给予价格扣除的政策优惠；</w:t>
      </w:r>
      <w:bookmarkEnd w:id="90"/>
    </w:p>
    <w:p>
      <w:pPr>
        <w:spacing w:line="360" w:lineRule="auto"/>
        <w:ind w:firstLine="480" w:firstLineChars="200"/>
        <w:rPr>
          <w:rFonts w:hint="eastAsia" w:ascii="仿宋" w:hAnsi="仿宋" w:eastAsia="仿宋" w:cs="仿宋"/>
          <w:kern w:val="0"/>
          <w:sz w:val="24"/>
          <w:highlight w:val="none"/>
        </w:rPr>
      </w:pPr>
      <w:bookmarkStart w:id="91" w:name="_Toc502705734"/>
      <w:r>
        <w:rPr>
          <w:rFonts w:hint="eastAsia" w:ascii="仿宋" w:hAnsi="仿宋" w:eastAsia="仿宋" w:cs="仿宋"/>
          <w:kern w:val="0"/>
          <w:sz w:val="24"/>
          <w:highlight w:val="none"/>
        </w:rPr>
        <w:t>27.3如发现投标供应商不如实填写、列明的，如中标将取消成交资格；同时采购人及代理机构有权向行政监督部门申请将其列入不诚信供应商名单并停止其参与一定期限的采购活动。</w:t>
      </w:r>
      <w:bookmarkEnd w:id="91"/>
    </w:p>
    <w:p>
      <w:pPr>
        <w:spacing w:line="360" w:lineRule="auto"/>
        <w:ind w:firstLine="480" w:firstLineChars="200"/>
        <w:rPr>
          <w:rFonts w:hint="eastAsia" w:ascii="仿宋" w:hAnsi="仿宋" w:eastAsia="仿宋" w:cs="仿宋"/>
          <w:kern w:val="0"/>
          <w:sz w:val="24"/>
          <w:highlight w:val="none"/>
        </w:rPr>
      </w:pPr>
      <w:bookmarkStart w:id="92" w:name="_Toc502705735"/>
      <w:r>
        <w:rPr>
          <w:rFonts w:hint="eastAsia" w:ascii="仿宋" w:hAnsi="仿宋" w:eastAsia="仿宋" w:cs="仿宋"/>
          <w:kern w:val="0"/>
          <w:sz w:val="24"/>
          <w:highlight w:val="none"/>
        </w:rPr>
        <w:t>27.4评标价格仅为评定价格，不作为最终的中标价格。</w:t>
      </w:r>
      <w:bookmarkEnd w:id="92"/>
      <w:bookmarkStart w:id="93" w:name="_Toc502705736"/>
    </w:p>
    <w:p>
      <w:pPr>
        <w:spacing w:line="360" w:lineRule="auto"/>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28.中小企业优惠办法</w:t>
      </w:r>
      <w:bookmarkEnd w:id="93"/>
    </w:p>
    <w:p>
      <w:pPr>
        <w:spacing w:line="360" w:lineRule="auto"/>
        <w:ind w:firstLine="480" w:firstLineChars="200"/>
        <w:rPr>
          <w:rFonts w:hint="eastAsia" w:ascii="仿宋" w:hAnsi="仿宋" w:eastAsia="仿宋" w:cs="仿宋"/>
          <w:kern w:val="0"/>
          <w:sz w:val="24"/>
          <w:highlight w:val="none"/>
        </w:rPr>
      </w:pPr>
      <w:bookmarkStart w:id="94" w:name="_Toc502705737"/>
      <w:r>
        <w:rPr>
          <w:rFonts w:hint="eastAsia" w:ascii="仿宋" w:hAnsi="仿宋" w:eastAsia="仿宋" w:cs="仿宋"/>
          <w:kern w:val="0"/>
          <w:sz w:val="24"/>
          <w:highlight w:val="none"/>
        </w:rPr>
        <w:t>28.1根据《</w:t>
      </w:r>
      <w:r>
        <w:rPr>
          <w:rFonts w:hint="eastAsia" w:ascii="仿宋" w:hAnsi="仿宋" w:eastAsia="仿宋" w:cs="仿宋"/>
          <w:kern w:val="0"/>
          <w:sz w:val="24"/>
          <w:highlight w:val="none"/>
          <w:lang w:eastAsia="zh-CN"/>
        </w:rPr>
        <w:t>政府采购促进中小企业发展管理办法</w:t>
      </w:r>
      <w:r>
        <w:rPr>
          <w:rFonts w:hint="eastAsia" w:ascii="仿宋" w:hAnsi="仿宋" w:eastAsia="仿宋" w:cs="仿宋"/>
          <w:kern w:val="0"/>
          <w:sz w:val="24"/>
          <w:highlight w:val="none"/>
        </w:rPr>
        <w:t xml:space="preserve">》的规定，本项目磋商小组在综合评审时将给予小微企业的评标价格 </w:t>
      </w:r>
      <w:r>
        <w:rPr>
          <w:rFonts w:hint="eastAsia" w:ascii="仿宋" w:hAnsi="仿宋" w:eastAsia="仿宋" w:cs="仿宋"/>
          <w:kern w:val="0"/>
          <w:sz w:val="24"/>
          <w:highlight w:val="none"/>
          <w:lang w:val="en-US" w:eastAsia="zh-CN"/>
        </w:rPr>
        <w:t>10</w:t>
      </w:r>
      <w:r>
        <w:rPr>
          <w:rFonts w:hint="eastAsia" w:ascii="仿宋" w:hAnsi="仿宋" w:eastAsia="仿宋" w:cs="仿宋"/>
          <w:kern w:val="0"/>
          <w:sz w:val="24"/>
          <w:highlight w:val="none"/>
        </w:rPr>
        <w:t>%的价格扣除；小微企业将以扣除后的评标价格参与价格得分的计算及评审；</w:t>
      </w:r>
      <w:bookmarkEnd w:id="94"/>
    </w:p>
    <w:p>
      <w:pPr>
        <w:spacing w:line="360" w:lineRule="auto"/>
        <w:ind w:firstLine="480" w:firstLineChars="200"/>
        <w:rPr>
          <w:rFonts w:hint="eastAsia" w:ascii="仿宋" w:hAnsi="仿宋" w:eastAsia="仿宋" w:cs="仿宋"/>
          <w:kern w:val="0"/>
          <w:sz w:val="24"/>
          <w:highlight w:val="none"/>
        </w:rPr>
      </w:pPr>
      <w:bookmarkStart w:id="95" w:name="_Toc502705738"/>
      <w:r>
        <w:rPr>
          <w:rFonts w:hint="eastAsia" w:ascii="仿宋" w:hAnsi="仿宋" w:eastAsia="仿宋" w:cs="仿宋"/>
          <w:kern w:val="0"/>
          <w:sz w:val="24"/>
          <w:highlight w:val="none"/>
        </w:rPr>
        <w:t>28.2具体计算方式为：小微企业产品的评标价格=其投标报价—投标报价*扣除比例；</w:t>
      </w:r>
      <w:bookmarkEnd w:id="95"/>
    </w:p>
    <w:p>
      <w:pPr>
        <w:spacing w:line="360" w:lineRule="auto"/>
        <w:ind w:firstLine="480" w:firstLineChars="200"/>
        <w:rPr>
          <w:rFonts w:hint="eastAsia" w:ascii="仿宋" w:hAnsi="仿宋" w:eastAsia="仿宋" w:cs="仿宋"/>
          <w:kern w:val="0"/>
          <w:sz w:val="24"/>
          <w:highlight w:val="none"/>
        </w:rPr>
      </w:pPr>
      <w:bookmarkStart w:id="96" w:name="_Toc502705739"/>
      <w:r>
        <w:rPr>
          <w:rFonts w:hint="eastAsia" w:ascii="仿宋" w:hAnsi="仿宋" w:eastAsia="仿宋" w:cs="仿宋"/>
          <w:kern w:val="0"/>
          <w:sz w:val="24"/>
          <w:highlight w:val="none"/>
        </w:rPr>
        <w:t>28.3根据《政府采购促进中小企业发展管理办法》（财库﹝2020﹞46 号）的规定，本公司（联合体）参加（单位名称）的（项目名称）采购活动，提供的</w:t>
      </w:r>
      <w:r>
        <w:rPr>
          <w:rFonts w:hint="eastAsia" w:ascii="仿宋" w:hAnsi="仿宋" w:eastAsia="仿宋" w:cs="仿宋"/>
          <w:kern w:val="0"/>
          <w:sz w:val="24"/>
          <w:highlight w:val="none"/>
          <w:lang w:eastAsia="zh-CN"/>
        </w:rPr>
        <w:t>服务</w:t>
      </w:r>
      <w:r>
        <w:rPr>
          <w:rFonts w:hint="eastAsia" w:ascii="仿宋" w:hAnsi="仿宋" w:eastAsia="仿宋" w:cs="仿宋"/>
          <w:kern w:val="0"/>
          <w:sz w:val="24"/>
          <w:highlight w:val="none"/>
        </w:rPr>
        <w:t>全部由符合政策要求的中小企业</w:t>
      </w:r>
      <w:r>
        <w:rPr>
          <w:rFonts w:hint="eastAsia" w:ascii="仿宋" w:hAnsi="仿宋" w:eastAsia="仿宋" w:cs="仿宋"/>
          <w:kern w:val="0"/>
          <w:sz w:val="24"/>
          <w:highlight w:val="none"/>
          <w:lang w:eastAsia="zh-CN"/>
        </w:rPr>
        <w:t>服务，</w:t>
      </w:r>
      <w:r>
        <w:rPr>
          <w:rFonts w:hint="eastAsia" w:ascii="仿宋" w:hAnsi="仿宋" w:eastAsia="仿宋" w:cs="仿宋"/>
          <w:kern w:val="0"/>
          <w:sz w:val="24"/>
          <w:highlight w:val="none"/>
        </w:rPr>
        <w:t>未按要求提供声明函原件及相关证明材料的，将不给予价格扣除的政策优惠；</w:t>
      </w:r>
      <w:bookmarkEnd w:id="96"/>
    </w:p>
    <w:p>
      <w:pPr>
        <w:spacing w:line="360" w:lineRule="auto"/>
        <w:ind w:firstLine="480" w:firstLineChars="200"/>
        <w:rPr>
          <w:rFonts w:hint="eastAsia" w:ascii="仿宋" w:hAnsi="仿宋" w:eastAsia="仿宋" w:cs="仿宋"/>
          <w:kern w:val="0"/>
          <w:sz w:val="24"/>
          <w:highlight w:val="none"/>
        </w:rPr>
      </w:pPr>
      <w:bookmarkStart w:id="97" w:name="_Toc502705740"/>
      <w:r>
        <w:rPr>
          <w:rFonts w:hint="eastAsia" w:ascii="仿宋" w:hAnsi="仿宋" w:eastAsia="仿宋" w:cs="仿宋"/>
          <w:kern w:val="0"/>
          <w:sz w:val="24"/>
          <w:highlight w:val="none"/>
        </w:rPr>
        <w:t>28.4按照《财政部司法部关于采购支持监狱企业发展有关问题的通知》（财库</w:t>
      </w:r>
      <w:bookmarkEnd w:id="97"/>
    </w:p>
    <w:p>
      <w:pPr>
        <w:spacing w:line="360" w:lineRule="auto"/>
        <w:ind w:firstLine="480" w:firstLineChars="200"/>
        <w:rPr>
          <w:rFonts w:hint="eastAsia" w:ascii="仿宋" w:hAnsi="仿宋" w:eastAsia="仿宋" w:cs="仿宋"/>
          <w:kern w:val="0"/>
          <w:sz w:val="24"/>
          <w:highlight w:val="none"/>
        </w:rPr>
      </w:pPr>
      <w:bookmarkStart w:id="98" w:name="_Toc502705741"/>
      <w:r>
        <w:rPr>
          <w:rFonts w:hint="eastAsia" w:ascii="仿宋" w:hAnsi="仿宋" w:eastAsia="仿宋" w:cs="仿宋"/>
          <w:kern w:val="0"/>
          <w:sz w:val="24"/>
          <w:highlight w:val="none"/>
        </w:rPr>
        <w:t>【2014】68 号）文件规定，在采购活动中，监狱企业视同小型、微型企业，享受评审中价格扣除的采购政策。</w:t>
      </w:r>
      <w:bookmarkEnd w:id="98"/>
    </w:p>
    <w:p>
      <w:pPr>
        <w:spacing w:line="360" w:lineRule="auto"/>
        <w:ind w:firstLine="480" w:firstLineChars="200"/>
        <w:rPr>
          <w:rFonts w:hint="eastAsia" w:ascii="仿宋" w:hAnsi="仿宋" w:eastAsia="仿宋" w:cs="仿宋"/>
          <w:kern w:val="0"/>
          <w:sz w:val="24"/>
          <w:highlight w:val="none"/>
        </w:rPr>
      </w:pPr>
      <w:bookmarkStart w:id="99" w:name="_Toc502705742"/>
      <w:r>
        <w:rPr>
          <w:rFonts w:hint="eastAsia" w:ascii="仿宋" w:hAnsi="仿宋" w:eastAsia="仿宋" w:cs="仿宋"/>
          <w:kern w:val="0"/>
          <w:sz w:val="24"/>
          <w:highlight w:val="none"/>
        </w:rPr>
        <w:t>28.5如发现投标供应商不如实填写小微企业声明函及提供真实的证明材料的，如中标将取消成交资格；同时采购人及代理机构有权向行政监督部门申请将其列入不诚信供应商名单并停止其参与一定期限的采购活动。</w:t>
      </w:r>
      <w:bookmarkEnd w:id="99"/>
    </w:p>
    <w:p>
      <w:pPr>
        <w:spacing w:line="360" w:lineRule="auto"/>
        <w:ind w:firstLine="480" w:firstLineChars="200"/>
        <w:rPr>
          <w:rFonts w:hint="eastAsia" w:ascii="仿宋" w:hAnsi="仿宋" w:eastAsia="仿宋" w:cs="仿宋"/>
          <w:kern w:val="0"/>
          <w:sz w:val="24"/>
          <w:highlight w:val="none"/>
        </w:rPr>
      </w:pPr>
      <w:bookmarkStart w:id="100" w:name="_Toc502705743"/>
      <w:r>
        <w:rPr>
          <w:rFonts w:hint="eastAsia" w:ascii="仿宋" w:hAnsi="仿宋" w:eastAsia="仿宋" w:cs="仿宋"/>
          <w:kern w:val="0"/>
          <w:sz w:val="24"/>
          <w:highlight w:val="none"/>
        </w:rPr>
        <w:t>28.6评标价格仅为评定价格，不作为最终的中标价格。</w:t>
      </w:r>
      <w:bookmarkEnd w:id="100"/>
    </w:p>
    <w:p>
      <w:pPr>
        <w:pStyle w:val="19"/>
        <w:spacing w:line="360" w:lineRule="auto"/>
        <w:ind w:left="0" w:leftChars="0" w:firstLine="562" w:firstLineChars="200"/>
        <w:jc w:val="left"/>
        <w:outlineLvl w:val="1"/>
        <w:rPr>
          <w:rFonts w:hint="eastAsia" w:ascii="仿宋" w:hAnsi="仿宋" w:eastAsia="仿宋" w:cs="仿宋"/>
          <w:b/>
          <w:sz w:val="28"/>
          <w:highlight w:val="none"/>
        </w:rPr>
      </w:pPr>
      <w:bookmarkStart w:id="101" w:name="_Toc11422"/>
      <w:r>
        <w:rPr>
          <w:rFonts w:hint="eastAsia" w:ascii="仿宋" w:hAnsi="仿宋" w:eastAsia="仿宋" w:cs="仿宋"/>
          <w:b/>
          <w:sz w:val="28"/>
          <w:highlight w:val="none"/>
        </w:rPr>
        <w:t>十一、解释权</w:t>
      </w:r>
      <w:bookmarkEnd w:id="101"/>
    </w:p>
    <w:p>
      <w:pPr>
        <w:pStyle w:val="18"/>
        <w:tabs>
          <w:tab w:val="left" w:pos="1146"/>
        </w:tabs>
        <w:spacing w:after="0" w:line="360" w:lineRule="auto"/>
        <w:ind w:firstLine="480" w:firstLineChars="200"/>
        <w:jc w:val="left"/>
        <w:rPr>
          <w:rFonts w:hint="eastAsia" w:ascii="仿宋" w:hAnsi="仿宋" w:eastAsia="仿宋" w:cs="仿宋"/>
          <w:sz w:val="32"/>
          <w:szCs w:val="32"/>
          <w:highlight w:val="none"/>
        </w:rPr>
        <w:sectPr>
          <w:headerReference r:id="rId4" w:type="default"/>
          <w:footerReference r:id="rId5" w:type="default"/>
          <w:footerReference r:id="rId6" w:type="even"/>
          <w:pgSz w:w="11907" w:h="16840"/>
          <w:pgMar w:top="1593" w:right="1418" w:bottom="1418" w:left="1418" w:header="851" w:footer="851" w:gutter="0"/>
          <w:cols w:space="720" w:num="1"/>
          <w:docGrid w:type="lines" w:linePitch="290" w:charSpace="-3931"/>
        </w:sectPr>
      </w:pPr>
      <w:r>
        <w:rPr>
          <w:rFonts w:hint="eastAsia" w:ascii="仿宋" w:hAnsi="仿宋" w:eastAsia="仿宋" w:cs="仿宋"/>
          <w:sz w:val="24"/>
          <w:highlight w:val="none"/>
        </w:rPr>
        <w:t>本</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的最终解释权归</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，当对一个问题有多种解释时以</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的书面解释为准。</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未做须知明示，而又有相关法律、法规规定的，</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对此所做解释以相关的法律、法规规定为依据。</w:t>
      </w:r>
    </w:p>
    <w:p>
      <w:pPr>
        <w:pStyle w:val="5"/>
        <w:numPr>
          <w:ilvl w:val="0"/>
          <w:numId w:val="0"/>
        </w:numPr>
        <w:spacing w:before="0" w:after="0" w:line="360" w:lineRule="auto"/>
        <w:jc w:val="center"/>
        <w:rPr>
          <w:rFonts w:hint="eastAsia" w:asciiTheme="minorEastAsia" w:hAnsiTheme="minorEastAsia" w:eastAsiaTheme="minorEastAsia" w:cstheme="minorEastAsia"/>
          <w:sz w:val="24"/>
          <w:szCs w:val="24"/>
          <w:highlight w:val="none"/>
        </w:rPr>
      </w:pPr>
      <w:bookmarkStart w:id="102" w:name="_Toc22013"/>
      <w:r>
        <w:rPr>
          <w:rFonts w:hint="eastAsia" w:ascii="仿宋" w:hAnsi="仿宋" w:eastAsia="仿宋" w:cs="仿宋"/>
          <w:sz w:val="32"/>
          <w:szCs w:val="32"/>
          <w:highlight w:val="none"/>
          <w:lang w:eastAsia="zh-CN"/>
        </w:rPr>
        <w:t>第三章</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项目说明</w:t>
      </w:r>
      <w:bookmarkEnd w:id="102"/>
      <w:bookmarkStart w:id="103" w:name="_Toc373058814"/>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产品名称：细胞分离过滤装置</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规格型号：10支/盒</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产品描述：由上塞、容积管、压垫、滤膜、过滤网、膜托、扣盖和下塞组成</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先进性：与YXCTC PreciseCatch® 设备配套使用。</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 一次性细胞分离过滤装置的设计，完全避免携带交叉污染； </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 无需依赖细胞表面标记物； </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 滤膜通量高，无需裂红处理；</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 CTM检测能力强，无离心步骤，减少对CTM的损伤；</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 样本处理时间快，单个样本处理时间在 12 分钟左右；</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 设备自动化分离，结果稳定性高；</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 异常细胞截留率≧80%,CV 值≦15% ；</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 异常细胞富集率≧1000 倍 。</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预期用途：主要用于临床检验用靶细胞的富集或去除，仅为物理分离，与配套试剂及检测设备配合使用完成临床检验。</w:t>
      </w:r>
    </w:p>
    <w:p>
      <w:pPr>
        <w:pStyle w:val="2"/>
        <w:jc w:val="left"/>
        <w:rPr>
          <w:rFonts w:hint="eastAsia" w:ascii="仿宋" w:hAnsi="仿宋" w:eastAsia="仿宋" w:cs="仿宋"/>
          <w:sz w:val="24"/>
          <w:szCs w:val="24"/>
          <w:highlight w:val="none"/>
        </w:rPr>
      </w:pPr>
    </w:p>
    <w:p>
      <w:pPr>
        <w:pStyle w:val="2"/>
        <w:jc w:val="left"/>
        <w:rPr>
          <w:rFonts w:hint="eastAsia" w:ascii="仿宋" w:hAnsi="仿宋" w:eastAsia="仿宋" w:cs="仿宋"/>
          <w:sz w:val="24"/>
          <w:szCs w:val="24"/>
          <w:highlight w:val="none"/>
        </w:rPr>
      </w:pPr>
    </w:p>
    <w:p>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产品名称：血细胞分析用染色液</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规格型号：10人份/盒</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产品描述：由试剂1：去离子水 320ml；试剂2：曙红 50ml；试剂3:亚甲蓝 50ml；试剂4：甲醇 80ml；试剂5：磷酸盐缓冲液 120ml组成</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先进性：与YXCTC PreciseCatch® 设备配套使用。</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1）外观为澄清液体，无沉淀，上清液无絮状物，可通过目力观察；</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2）使用通用量进行测量，符合标称值的规定；</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3）密封良好，倒置过程中无泄漏；</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4）通过对细胞的染色，循环肿瘤细胞核染紫红色，核仁染蓝色。染色结果准确无误；</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5）常温下保存，有效期为24个月。可在有效期末用待检试剂重复检测。</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预期用途：主要用于对血细胞进行染色，从而观察其形态与结构，以便于血液分析仪器进行血细胞分类计数。</w:t>
      </w:r>
    </w:p>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240" w:firstLineChars="1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、交货地点：严格按照国家相关要求的运输方式送到用户指定地点。</w:t>
      </w:r>
    </w:p>
    <w:p>
      <w:pPr>
        <w:ind w:firstLine="240" w:firstLineChars="100"/>
        <w:rPr>
          <w:rFonts w:hint="eastAsia" w:ascii="仿宋" w:hAnsi="仿宋" w:eastAsia="仿宋" w:cs="仿宋"/>
          <w:color w:val="auto"/>
          <w:highlight w:val="none"/>
          <w:lang w:val="en-US" w:eastAsia="zh-CN"/>
        </w:rPr>
      </w:pPr>
      <w:r>
        <w:rPr>
          <w:rFonts w:hint="eastAsia" w:ascii="仿宋" w:hAnsi="仿宋" w:eastAsia="仿宋" w:cs="仿宋"/>
          <w:b w:val="0"/>
          <w:bCs w:val="0"/>
          <w:color w:val="auto"/>
          <w:sz w:val="24"/>
          <w:szCs w:val="24"/>
          <w:highlight w:val="none"/>
          <w:lang w:val="en-US" w:eastAsia="zh-CN"/>
        </w:rPr>
        <w:t>2、服务期：2年；</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付款方式：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自中标公告发布之日起3个工作日内成交供应商向采购人指定账户缴纳合同金额5%的履约保证金。在合同签订生效且具备实施条件后，成交供应商向项目负责人或指定人申请合同金额70%的预付款，采购人确定后7个工作日内支付。项目验收合格后7个工作日内，支付剩余合同货款。</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履约保证金在验收合格后满一年后，没有任何质量问题，由中标人向采购人提交申请，采购人根据履约情况无息退还给中标人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机构代码（大额支付银行行号）：103463051852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、若有其他优惠请自报。</w:t>
      </w:r>
    </w:p>
    <w:p>
      <w:pPr>
        <w:rPr>
          <w:rFonts w:hint="eastAsia" w:ascii="仿宋" w:hAnsi="仿宋" w:eastAsia="仿宋" w:cs="仿宋"/>
          <w:sz w:val="24"/>
          <w:szCs w:val="24"/>
          <w:highlight w:val="none"/>
          <w:lang w:val="en-US" w:eastAsia="zh-CN"/>
        </w:rPr>
      </w:pPr>
    </w:p>
    <w:p>
      <w:pPr>
        <w:pStyle w:val="100"/>
        <w:spacing w:line="360" w:lineRule="auto"/>
        <w:ind w:firstLine="267" w:firstLineChars="83"/>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pPr>
        <w:pStyle w:val="18"/>
        <w:spacing w:after="145" w:afterLines="50" w:line="360" w:lineRule="auto"/>
        <w:jc w:val="center"/>
        <w:outlineLvl w:val="0"/>
        <w:rPr>
          <w:rFonts w:hint="eastAsia" w:ascii="仿宋" w:hAnsi="仿宋" w:eastAsia="仿宋" w:cs="仿宋"/>
          <w:b/>
          <w:sz w:val="32"/>
          <w:szCs w:val="32"/>
          <w:highlight w:val="none"/>
        </w:rPr>
      </w:pPr>
      <w:bookmarkStart w:id="104" w:name="_Toc12214"/>
      <w:r>
        <w:rPr>
          <w:rFonts w:hint="eastAsia" w:ascii="仿宋" w:hAnsi="仿宋" w:eastAsia="仿宋" w:cs="仿宋"/>
          <w:b/>
          <w:sz w:val="32"/>
          <w:szCs w:val="32"/>
          <w:highlight w:val="none"/>
        </w:rPr>
        <w:t>第四章 合同条款</w:t>
      </w:r>
      <w:bookmarkEnd w:id="103"/>
      <w:bookmarkEnd w:id="104"/>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1、定义</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1.1“合同”系指甲乙双方签署的、合同格式中载明的甲乙双方所达成的，包括所有的附件和构成合同的其它文件。</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1.2“设备”系指乙方根据合同约定须向甲方提供的一切设备、机械、仪表、备件、工具、手册和其它技术资料及材料。</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1.3“服务”系指根据合同约定乙方承担与供货有关的服务，如运输、保险及安装、调试、提供技术协助、培训和其他类似的服务。</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1.4“甲方”系指与成交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签署合同的单位。</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1.5“乙方”系指根据合同约定提供设备和服务的成交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1.6“现场”系指合同约定安装的地点。</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1.7“验收”系指合同双方依据强制性的国家技术质量规范和合同约定，确认合同项下的服务符合合同规定的活动。</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1.8“项目负责人”系指成交单位为本项目指派的项目负责人/项目经理，在项目执行过程中不得随意更换。</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2、技术规范</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提交服务的技术规范应与</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规定的技术规范和技术规范附件（如果有的话）及其</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的技术规格偏差表相一致。若技术规范中无相应说明，则以国家有关部门最新颁布的相应标准及规范为准。</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3、知识产权</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乙方应保证甲方在中国境内使用服务或服务的任何一部分时，免受第三方提出的侵犯其知识产权的诉讼。如果第三方提出侵权指控，乙方须与第三方交涉并承担可能发生的一切法律责任、费用和经济赔偿。</w:t>
      </w:r>
    </w:p>
    <w:p>
      <w:pPr>
        <w:pStyle w:val="18"/>
        <w:spacing w:after="0" w:line="360" w:lineRule="auto"/>
        <w:ind w:firstLine="562" w:firstLineChars="200"/>
        <w:jc w:val="left"/>
        <w:rPr>
          <w:rFonts w:hint="eastAsia" w:ascii="仿宋" w:hAnsi="仿宋" w:eastAsia="仿宋" w:cs="仿宋"/>
          <w:b/>
          <w:sz w:val="28"/>
          <w:highlight w:val="none"/>
        </w:rPr>
      </w:pPr>
      <w:bookmarkStart w:id="105" w:name="_Toc187834164"/>
      <w:bookmarkStart w:id="106" w:name="_Toc132624043"/>
      <w:bookmarkStart w:id="107" w:name="_Toc251240381"/>
      <w:bookmarkStart w:id="108" w:name="_Toc174440246"/>
      <w:bookmarkStart w:id="109" w:name="_Toc187854452"/>
      <w:bookmarkStart w:id="110" w:name="_Toc247445669"/>
      <w:bookmarkStart w:id="111" w:name="_Toc247100489"/>
      <w:bookmarkStart w:id="112" w:name="_Toc176592609"/>
      <w:bookmarkStart w:id="113" w:name="_Toc195610864"/>
      <w:r>
        <w:rPr>
          <w:rFonts w:hint="eastAsia" w:ascii="仿宋" w:hAnsi="仿宋" w:eastAsia="仿宋" w:cs="仿宋"/>
          <w:b/>
          <w:sz w:val="28"/>
          <w:highlight w:val="none"/>
        </w:rPr>
        <w:t>4、合同价格</w:t>
      </w:r>
      <w:bookmarkEnd w:id="105"/>
      <w:bookmarkEnd w:id="106"/>
      <w:bookmarkEnd w:id="107"/>
      <w:bookmarkEnd w:id="108"/>
      <w:bookmarkEnd w:id="109"/>
      <w:bookmarkEnd w:id="110"/>
      <w:bookmarkEnd w:id="111"/>
      <w:bookmarkEnd w:id="112"/>
      <w:bookmarkEnd w:id="113"/>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4.1本合同价格包括硬件、软件（执行过程中可能发生人工费、保险、测试、维护等）及知识产权专用工具、培训、技术服务、保险费、安装调试费、利润、税金、因国家政策调整等不可抗力所引起的相关费用、各项费用和价格的涨价风险</w:t>
      </w:r>
      <w:r>
        <w:rPr>
          <w:rFonts w:hint="eastAsia" w:ascii="仿宋" w:hAnsi="仿宋" w:eastAsia="仿宋" w:cs="仿宋"/>
          <w:sz w:val="24"/>
          <w:highlight w:val="none"/>
          <w:lang w:eastAsia="zh-CN"/>
        </w:rPr>
        <w:t>、</w:t>
      </w:r>
      <w:r>
        <w:rPr>
          <w:rFonts w:hint="eastAsia" w:ascii="仿宋" w:hAnsi="仿宋" w:eastAsia="仿宋" w:cs="仿宋"/>
          <w:sz w:val="24"/>
          <w:highlight w:val="none"/>
        </w:rPr>
        <w:t>见证费、代理费等，以及合同明示或暗示的所有责任、义务和不可抗力以外的一切风险等完成本项目工作所需的全部费用。若</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有缺项漏项，视为已均摊在其他费用中。</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4.2本合同价格已考虑履行合同期内的价格浮动因素。除非有变更发生，否则在合同执行过程中由乙方负责采购的服务不再调整价格。</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5、付款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color w:val="auto"/>
          <w:sz w:val="24"/>
          <w:highlight w:val="none"/>
          <w:lang w:eastAsia="zh-CN"/>
        </w:rPr>
        <w:t>合</w:t>
      </w:r>
      <w:r>
        <w:rPr>
          <w:rFonts w:hint="eastAsia" w:ascii="仿宋" w:hAnsi="仿宋" w:eastAsia="仿宋" w:cs="仿宋"/>
          <w:color w:val="auto"/>
          <w:sz w:val="24"/>
          <w:highlight w:val="none"/>
        </w:rPr>
        <w:t>同签订后成交供应商向采购人指定账户缴纳合同金额5%的履约保证金。在合同签订生效且具备实施条件后，成交供应商向项目负责人或指定人申请合同金额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%的预付款，采购人确定后7个工作日内支付。项目验收合格、审计定案（若需要）后7个工作日内，支付剩余合同货款。</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6、质量</w:t>
      </w:r>
    </w:p>
    <w:p>
      <w:pPr>
        <w:pStyle w:val="18"/>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6.1乙方须保证服务是本公司研发的，并完全符合强制性的国家技术质量规范和</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规定的质量、规格、性能和技术规范等要求。</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6.2乙方保证提供的服务符合中华人民共和国国家及行业的安全质量标准；若服务来源于中华人民共和国境外，还要同时符合设备来源国的官方、行业及厂商的安全质量标准。上述标准为已发布的且在服务交付时有效的最新版本的标准；当设备来源于中华人民共和国境外时，必须附有原产地证明、合法进货渠道证明及海关完税证明，此外，有关技术资料中须附有全文翻译的中文文本。</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6.3乙方须保证所提供的服务经正确安装、正常运行，在质量保证期之内，乙方须对由于设计缺陷而发生的任何不足或故障负责。</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6.4如果乙方在收到通知后五日内没有弥补缺陷，甲方可采取必要的补救措施，但由此引发的风险和费用将由乙方承担。</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9、安装、运行</w:t>
      </w:r>
    </w:p>
    <w:p>
      <w:pPr>
        <w:pStyle w:val="18"/>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9.1合同签订后，乙方应根据实际情况向甲方提供安装调试进度计划，经确认后作为合同条款的附件。乙应按计划完工并交付验收。</w:t>
      </w:r>
    </w:p>
    <w:p>
      <w:pPr>
        <w:pStyle w:val="18"/>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9.2服务的地点须与</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的要求一致。</w:t>
      </w:r>
    </w:p>
    <w:p>
      <w:pPr>
        <w:pStyle w:val="18"/>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9.3乙方应派专业人员，按照有关规范、标准和设备说明书进行安装、调试、试运行和现场试验，现场试验结果不能满足</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的规定，或设备不能确保正常运行，甲方有权拒绝接收并要求更换，乙方应在甲方要求的期限内更换，并承担由此造成的一切损失；现场试验的费用由乙方承担。</w:t>
      </w:r>
    </w:p>
    <w:p>
      <w:pPr>
        <w:pStyle w:val="18"/>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9.4因乙方责任造成服务不符合有关</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技术条款规定的要求，以及因乙方技术文件错误或其技术人员在安装、调试过程中错误行为而导致损失，乙方应承担赔偿责任。</w:t>
      </w:r>
    </w:p>
    <w:p>
      <w:pPr>
        <w:pStyle w:val="18"/>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9.6乙方应做好现场安装调试的安全防护，乙方因组织不当、管理不善等原因，导致在安装、调试过程中，造成自身、雇佣人员或第三方人身伤亡或财产损失，乙方应承担全部责任。</w:t>
      </w:r>
    </w:p>
    <w:p>
      <w:pPr>
        <w:pStyle w:val="18"/>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9.6试运行期间，运行管理单位对设施设备运行情况进行分析评价，评价结果作为支付质量保证金的主要依据。</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10、验收</w:t>
      </w:r>
    </w:p>
    <w:p>
      <w:pPr>
        <w:pStyle w:val="18"/>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乙方提交的服务由甲方指定验收人员负责验收签字，要将验收情况在验收单中如实说明，并签字确认。甲方要对自己的验收意见负责，如果验收意见与事实不符，应承担相应的法律责任。一方如对验收意见存在异议，可向当地质检（商检）部门申请检验，并出具检验证书，检验费用由主张方支付。验收通过后，甲乙双方共同在政府采购项目验收单上签字和加盖双方单位公章，作为验收合格的依据。</w:t>
      </w:r>
    </w:p>
    <w:p>
      <w:pPr>
        <w:pStyle w:val="18"/>
        <w:spacing w:after="0" w:line="360" w:lineRule="auto"/>
        <w:ind w:firstLine="562" w:firstLineChars="200"/>
        <w:jc w:val="left"/>
        <w:rPr>
          <w:rFonts w:hint="eastAsia" w:ascii="仿宋" w:hAnsi="仿宋" w:eastAsia="仿宋" w:cs="仿宋"/>
          <w:b/>
          <w:sz w:val="28"/>
          <w:highlight w:val="none"/>
        </w:rPr>
      </w:pPr>
      <w:bookmarkStart w:id="114" w:name="_Toc487900361"/>
      <w:r>
        <w:rPr>
          <w:rFonts w:hint="eastAsia" w:ascii="仿宋" w:hAnsi="仿宋" w:eastAsia="仿宋" w:cs="仿宋"/>
          <w:b/>
          <w:sz w:val="28"/>
          <w:highlight w:val="none"/>
        </w:rPr>
        <w:t>11、索赔</w:t>
      </w:r>
      <w:bookmarkEnd w:id="114"/>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如果服务的质量、规格、数量、重量等与合同不符，或在质量保证期内证实设备存有缺陷，包括潜在的缺陷或使用不符合要求的材料等，甲方有权根据有资质的权威质检机构的检验结果向乙方提出索赔。</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12、违约赔偿</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12.1乙方延迟交付安装，每延迟1日，按应交付设备总额</w:t>
      </w:r>
      <w:r>
        <w:rPr>
          <w:rFonts w:hint="eastAsia" w:ascii="仿宋" w:hAnsi="仿宋" w:eastAsia="仿宋" w:cs="仿宋"/>
          <w:sz w:val="24"/>
          <w:highlight w:val="none"/>
          <w:lang w:eastAsia="zh-CN"/>
        </w:rPr>
        <w:t>1‰</w:t>
      </w:r>
      <w:r>
        <w:rPr>
          <w:rFonts w:hint="eastAsia" w:ascii="仿宋" w:hAnsi="仿宋" w:eastAsia="仿宋" w:cs="仿宋"/>
          <w:sz w:val="24"/>
          <w:highlight w:val="none"/>
        </w:rPr>
        <w:t>支付违约金。乙方履行合同不符合规定，除应按合同约定及时调换外，在调换设备期间，应按调换设备金额每日</w:t>
      </w:r>
      <w:r>
        <w:rPr>
          <w:rFonts w:hint="eastAsia" w:ascii="仿宋" w:hAnsi="仿宋" w:eastAsia="仿宋" w:cs="仿宋"/>
          <w:sz w:val="24"/>
          <w:highlight w:val="none"/>
          <w:lang w:eastAsia="zh-CN"/>
        </w:rPr>
        <w:t>1‰</w:t>
      </w:r>
      <w:r>
        <w:rPr>
          <w:rFonts w:hint="eastAsia" w:ascii="仿宋" w:hAnsi="仿宋" w:eastAsia="仿宋" w:cs="仿宋"/>
          <w:sz w:val="24"/>
          <w:highlight w:val="none"/>
        </w:rPr>
        <w:t>向甲方支付违约金。</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12.2如乙方违约，甲方有权从应付货款中扣除违约金及其它费用，投标保证金不足部分，甲方保留追索的权利。</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12.3如因一方违约，双方未能就赔偿损失达成协议，引起诉讼或仲裁时，违约方除应赔偿对方经济损失外，还应承担对方因诉讼或仲裁所支付的律师代理费等相关费用。</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12.4按照合同规定应该偿付的违约金、赔偿金等，应当在明确责任后三日内，按银行规定或双方商定的结算办法付清，否则按逾期付款处理。</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13、合同修改</w:t>
      </w:r>
    </w:p>
    <w:p>
      <w:pPr>
        <w:pStyle w:val="18"/>
        <w:spacing w:after="0" w:line="360" w:lineRule="auto"/>
        <w:ind w:firstLine="480" w:firstLineChars="200"/>
        <w:jc w:val="left"/>
        <w:rPr>
          <w:rFonts w:hint="eastAsia" w:ascii="仿宋" w:hAnsi="仿宋" w:eastAsia="仿宋" w:cs="仿宋"/>
          <w:b/>
          <w:sz w:val="28"/>
          <w:highlight w:val="none"/>
        </w:rPr>
      </w:pPr>
      <w:r>
        <w:rPr>
          <w:rFonts w:hint="eastAsia" w:ascii="仿宋" w:hAnsi="仿宋" w:eastAsia="仿宋" w:cs="仿宋"/>
          <w:sz w:val="24"/>
          <w:highlight w:val="none"/>
        </w:rPr>
        <w:t>甲方和乙方都不得擅自变更合同，但合同继续履行将损害国家和社会公共利益的除外。如必须对合同条款进行改动时，双方须共同签署书面文件，并报政府集中采购机构审核备案。</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14、违约终止合同</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14.1在甲方因乙方违约而按合同约定采取的任何补救措施不受影响的情况下，甲方可在下列情况下向乙方发出书面通知，提出终止部分或全部合同。</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（1）如果乙方未能在合同规定的限期或甲方同意延长的限期内提供部分或全部设备和服务。</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（2）如果乙方未能履行合同规定的其它任何义务。</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如果乙方在本合同实施中有腐败和欺诈行为。为此，定义如下：“腐败行为”是指提供、给予、接受或索取任何有价值的东西来影响采购人员在采购过程或合同实施过程中的行为；“欺诈行为”是指为了影响采购过程或合同实施过程而谎报事实，弄虚作假，损害甲方的利益，包括乙方单位之间串通，人为地使供货活动丧失竞争性，损害甲方所能获得的权益。</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14.2在甲方根据15.1规定，全部或部分终止合同之后，甲方可以全部或部分购买类似服务，乙方应承担甲方购买类似服务而产生的额外支出。部分终止合同的，乙方应继续履行合同中未终止的部分。</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15、破产终止合同</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如果乙方破产或无清偿能力时，甲方可在任何时候以书面形式通知乙方终止合同，而不给乙方补偿。该合同的终止将不损害或不影响甲方已经采取或将要采取的任何行动或补救措施的权利。</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16、不可抗力</w:t>
      </w:r>
    </w:p>
    <w:p>
      <w:pPr>
        <w:pStyle w:val="18"/>
        <w:spacing w:after="0" w:line="360" w:lineRule="auto"/>
        <w:ind w:firstLine="480" w:firstLineChars="200"/>
        <w:jc w:val="left"/>
        <w:rPr>
          <w:rFonts w:hint="eastAsia" w:ascii="仿宋" w:hAnsi="仿宋" w:eastAsia="仿宋" w:cs="仿宋"/>
          <w:sz w:val="24"/>
          <w:highlight w:val="none"/>
        </w:rPr>
      </w:pPr>
      <w:bookmarkStart w:id="115" w:name="_Toc487900365"/>
      <w:r>
        <w:rPr>
          <w:rFonts w:hint="eastAsia" w:ascii="仿宋" w:hAnsi="仿宋" w:eastAsia="仿宋" w:cs="仿宋"/>
          <w:sz w:val="24"/>
          <w:highlight w:val="none"/>
        </w:rPr>
        <w:t>16.1甲乙双方因不可抗力而导致合同实施延误或不能履行合同义务，不承担误期赔偿或不能履行合同义务的责任。不可抗力事件系指买卖双方在缔结合同时所不能遇见的，并且它的发生及其后果是无法避免和无法克服的时间，诸如战争、严重火灾、洪水、台风、地震等。</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16.2在不可抗力事件发生后，当事方应尽快以书面形式通知对方，并于事件发生后15日内将有关部门出具的证明文件送对方审阅确认。</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16.3双方应通过友好协商在合理的时间内达成进一步履行合同的协议，并以书面形式报政府集中采购机构备案。</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17、税费</w:t>
      </w:r>
      <w:bookmarkEnd w:id="115"/>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与本合同有关的一切税费均适用中华人民共和国法律的相关规定。</w:t>
      </w:r>
    </w:p>
    <w:p>
      <w:pPr>
        <w:pStyle w:val="18"/>
        <w:spacing w:after="0" w:line="360" w:lineRule="auto"/>
        <w:ind w:firstLine="562" w:firstLineChars="200"/>
        <w:jc w:val="left"/>
        <w:rPr>
          <w:rFonts w:hint="eastAsia" w:ascii="仿宋" w:hAnsi="仿宋" w:eastAsia="仿宋" w:cs="仿宋"/>
          <w:b/>
          <w:sz w:val="28"/>
          <w:highlight w:val="none"/>
        </w:rPr>
      </w:pPr>
      <w:bookmarkStart w:id="116" w:name="_Toc487900369"/>
      <w:r>
        <w:rPr>
          <w:rFonts w:hint="eastAsia" w:ascii="仿宋" w:hAnsi="仿宋" w:eastAsia="仿宋" w:cs="仿宋"/>
          <w:b/>
          <w:sz w:val="28"/>
          <w:highlight w:val="none"/>
        </w:rPr>
        <w:t>18、转让和分包</w:t>
      </w:r>
      <w:bookmarkEnd w:id="116"/>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未经采购人同意，本项目不得转让和分包。</w:t>
      </w:r>
    </w:p>
    <w:p>
      <w:pPr>
        <w:pStyle w:val="18"/>
        <w:spacing w:after="0" w:line="360" w:lineRule="auto"/>
        <w:ind w:firstLine="562" w:firstLineChars="200"/>
        <w:jc w:val="left"/>
        <w:rPr>
          <w:rFonts w:hint="eastAsia" w:ascii="仿宋" w:hAnsi="仿宋" w:eastAsia="仿宋" w:cs="仿宋"/>
          <w:b/>
          <w:sz w:val="28"/>
          <w:highlight w:val="none"/>
        </w:rPr>
      </w:pPr>
      <w:bookmarkStart w:id="117" w:name="_Toc487900371"/>
      <w:r>
        <w:rPr>
          <w:rFonts w:hint="eastAsia" w:ascii="仿宋" w:hAnsi="仿宋" w:eastAsia="仿宋" w:cs="仿宋"/>
          <w:b/>
          <w:sz w:val="28"/>
          <w:highlight w:val="none"/>
        </w:rPr>
        <w:t>19、通知</w:t>
      </w:r>
      <w:bookmarkEnd w:id="117"/>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合同任何一方给另一方的通知，都应以书面形式发送，而另一方也应以书面形式确认并发送到对方明确的地址。</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20、争议的解决</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本合同在履行过程中发生争议时，由双方当事人协商解决，协商解决不成的向甲方所在地相关部门提请仲裁或诉讼。</w:t>
      </w:r>
    </w:p>
    <w:p>
      <w:pPr>
        <w:pStyle w:val="18"/>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21、合同生效</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本合同为附条件生效合同，除甲乙双方签章外，本合同需经招标代理人审核确认后生效。</w:t>
      </w:r>
      <w:bookmarkStart w:id="118" w:name="_Toc373058815"/>
    </w:p>
    <w:p>
      <w:pPr>
        <w:pStyle w:val="5"/>
        <w:adjustRightInd w:val="0"/>
        <w:snapToGrid w:val="0"/>
        <w:spacing w:before="0" w:after="0" w:line="360" w:lineRule="auto"/>
        <w:jc w:val="center"/>
        <w:rPr>
          <w:rFonts w:hint="eastAsia" w:ascii="仿宋" w:hAnsi="仿宋" w:eastAsia="仿宋" w:cs="仿宋"/>
          <w:sz w:val="32"/>
          <w:szCs w:val="32"/>
          <w:highlight w:val="none"/>
        </w:rPr>
      </w:pPr>
      <w:r>
        <w:rPr>
          <w:rFonts w:hint="eastAsia" w:ascii="仿宋" w:hAnsi="仿宋" w:eastAsia="仿宋" w:cs="仿宋"/>
          <w:sz w:val="36"/>
          <w:szCs w:val="36"/>
          <w:highlight w:val="none"/>
        </w:rPr>
        <w:br w:type="page"/>
      </w:r>
      <w:bookmarkStart w:id="119" w:name="_Toc12922"/>
      <w:r>
        <w:rPr>
          <w:rFonts w:hint="eastAsia" w:ascii="仿宋" w:hAnsi="仿宋" w:eastAsia="仿宋" w:cs="仿宋"/>
          <w:sz w:val="32"/>
          <w:szCs w:val="32"/>
          <w:highlight w:val="none"/>
        </w:rPr>
        <w:t>第五章 合同参考格式</w:t>
      </w:r>
      <w:bookmarkEnd w:id="119"/>
    </w:p>
    <w:p>
      <w:pPr>
        <w:wordWrap w:val="0"/>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政府采购合同</w:t>
      </w:r>
    </w:p>
    <w:p>
      <w:pPr>
        <w:wordWrap w:val="0"/>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（参考）</w:t>
      </w:r>
    </w:p>
    <w:p>
      <w:pPr>
        <w:wordWrap w:val="0"/>
        <w:jc w:val="center"/>
        <w:rPr>
          <w:rFonts w:hint="eastAsia" w:ascii="仿宋" w:hAnsi="仿宋" w:eastAsia="仿宋" w:cs="仿宋"/>
          <w:b/>
          <w:sz w:val="30"/>
          <w:highlight w:val="none"/>
        </w:rPr>
      </w:pPr>
    </w:p>
    <w:p>
      <w:pPr>
        <w:tabs>
          <w:tab w:val="left" w:pos="7360"/>
        </w:tabs>
        <w:wordWrap w:val="0"/>
        <w:jc w:val="left"/>
        <w:rPr>
          <w:rFonts w:hint="eastAsia" w:ascii="仿宋" w:hAnsi="仿宋" w:eastAsia="仿宋" w:cs="仿宋"/>
          <w:b/>
          <w:sz w:val="36"/>
          <w:highlight w:val="none"/>
        </w:rPr>
      </w:pPr>
    </w:p>
    <w:p>
      <w:pPr>
        <w:tabs>
          <w:tab w:val="left" w:pos="7360"/>
        </w:tabs>
        <w:wordWrap w:val="0"/>
        <w:jc w:val="left"/>
        <w:rPr>
          <w:rFonts w:hint="eastAsia" w:ascii="仿宋" w:hAnsi="仿宋" w:eastAsia="仿宋" w:cs="仿宋"/>
          <w:b/>
          <w:sz w:val="36"/>
          <w:highlight w:val="none"/>
        </w:rPr>
      </w:pPr>
      <w:r>
        <w:rPr>
          <w:rFonts w:hint="eastAsia" w:ascii="仿宋" w:hAnsi="仿宋" w:eastAsia="仿宋" w:cs="仿宋"/>
          <w:b/>
          <w:sz w:val="36"/>
          <w:highlight w:val="none"/>
        </w:rPr>
        <w:tab/>
      </w:r>
    </w:p>
    <w:p>
      <w:pPr>
        <w:wordWrap w:val="0"/>
        <w:ind w:left="3026" w:leftChars="-533" w:hanging="4145" w:hangingChars="1147"/>
        <w:rPr>
          <w:rFonts w:hint="eastAsia" w:ascii="仿宋" w:hAnsi="仿宋" w:eastAsia="仿宋" w:cs="仿宋"/>
          <w:b/>
          <w:sz w:val="36"/>
          <w:highlight w:val="none"/>
          <w:u w:val="single"/>
        </w:rPr>
      </w:pPr>
      <w:r>
        <w:rPr>
          <w:rFonts w:hint="eastAsia" w:ascii="仿宋" w:hAnsi="仿宋" w:eastAsia="仿宋" w:cs="仿宋"/>
          <w:b/>
          <w:sz w:val="36"/>
          <w:highlight w:val="none"/>
        </w:rPr>
        <w:t xml:space="preserve">             项目名称:</w:t>
      </w:r>
      <w:r>
        <w:rPr>
          <w:rFonts w:hint="eastAsia" w:ascii="仿宋" w:hAnsi="仿宋" w:eastAsia="仿宋" w:cs="仿宋"/>
          <w:b/>
          <w:sz w:val="52"/>
          <w:szCs w:val="52"/>
          <w:highlight w:val="none"/>
        </w:rPr>
        <w:t xml:space="preserve"> </w:t>
      </w:r>
      <w:r>
        <w:rPr>
          <w:rFonts w:hint="eastAsia" w:ascii="仿宋" w:hAnsi="仿宋" w:eastAsia="仿宋" w:cs="仿宋"/>
          <w:b/>
          <w:sz w:val="36"/>
          <w:highlight w:val="none"/>
          <w:u w:val="single"/>
        </w:rPr>
        <w:t xml:space="preserve">                       </w:t>
      </w:r>
    </w:p>
    <w:p>
      <w:pPr>
        <w:wordWrap w:val="0"/>
        <w:ind w:left="3026" w:leftChars="-533" w:hanging="4145" w:hangingChars="1147"/>
        <w:rPr>
          <w:rFonts w:hint="eastAsia" w:ascii="仿宋" w:hAnsi="仿宋" w:eastAsia="仿宋" w:cs="仿宋"/>
          <w:b/>
          <w:sz w:val="36"/>
          <w:highlight w:val="none"/>
          <w:u w:val="single"/>
        </w:rPr>
      </w:pPr>
    </w:p>
    <w:p>
      <w:pPr>
        <w:wordWrap w:val="0"/>
        <w:ind w:firstLine="1247" w:firstLineChars="345"/>
        <w:rPr>
          <w:rFonts w:hint="eastAsia" w:ascii="仿宋" w:hAnsi="仿宋" w:eastAsia="仿宋" w:cs="仿宋"/>
          <w:b/>
          <w:sz w:val="36"/>
          <w:highlight w:val="none"/>
          <w:u w:val="single"/>
        </w:rPr>
      </w:pPr>
      <w:r>
        <w:rPr>
          <w:rFonts w:hint="eastAsia" w:ascii="仿宋" w:hAnsi="仿宋" w:eastAsia="仿宋" w:cs="仿宋"/>
          <w:b/>
          <w:sz w:val="36"/>
          <w:highlight w:val="none"/>
        </w:rPr>
        <w:t>项目编号:</w:t>
      </w:r>
      <w:r>
        <w:rPr>
          <w:rFonts w:hint="eastAsia" w:ascii="仿宋" w:hAnsi="仿宋" w:eastAsia="仿宋" w:cs="仿宋"/>
          <w:b/>
          <w:sz w:val="36"/>
          <w:highlight w:val="none"/>
          <w:u w:val="single"/>
        </w:rPr>
        <w:t xml:space="preserve">                         </w:t>
      </w:r>
    </w:p>
    <w:p>
      <w:pPr>
        <w:wordWrap w:val="0"/>
        <w:ind w:firstLine="1081" w:firstLineChars="299"/>
        <w:rPr>
          <w:rFonts w:hint="eastAsia" w:ascii="仿宋" w:hAnsi="仿宋" w:eastAsia="仿宋" w:cs="仿宋"/>
          <w:b/>
          <w:sz w:val="36"/>
          <w:highlight w:val="none"/>
        </w:rPr>
      </w:pPr>
    </w:p>
    <w:p>
      <w:pPr>
        <w:wordWrap w:val="0"/>
        <w:rPr>
          <w:rFonts w:hint="eastAsia" w:ascii="仿宋" w:hAnsi="仿宋" w:eastAsia="仿宋" w:cs="仿宋"/>
          <w:b/>
          <w:sz w:val="36"/>
          <w:highlight w:val="none"/>
        </w:rPr>
      </w:pPr>
    </w:p>
    <w:p>
      <w:pPr>
        <w:pStyle w:val="2"/>
        <w:rPr>
          <w:rFonts w:hint="eastAsia" w:ascii="仿宋" w:hAnsi="仿宋" w:eastAsia="仿宋" w:cs="仿宋"/>
          <w:b/>
          <w:sz w:val="36"/>
          <w:highlight w:val="none"/>
        </w:rPr>
      </w:pPr>
    </w:p>
    <w:p>
      <w:pPr>
        <w:pStyle w:val="2"/>
        <w:rPr>
          <w:rFonts w:hint="eastAsia" w:ascii="仿宋" w:hAnsi="仿宋" w:eastAsia="仿宋" w:cs="仿宋"/>
          <w:b/>
          <w:sz w:val="36"/>
          <w:highlight w:val="none"/>
        </w:rPr>
      </w:pPr>
    </w:p>
    <w:p>
      <w:pPr>
        <w:pStyle w:val="2"/>
        <w:rPr>
          <w:rFonts w:hint="eastAsia" w:ascii="仿宋" w:hAnsi="仿宋" w:eastAsia="仿宋" w:cs="仿宋"/>
          <w:b/>
          <w:sz w:val="36"/>
          <w:highlight w:val="none"/>
        </w:rPr>
      </w:pPr>
    </w:p>
    <w:p>
      <w:pPr>
        <w:wordWrap w:val="0"/>
        <w:ind w:firstLine="885" w:firstLineChars="245"/>
        <w:rPr>
          <w:rFonts w:hint="eastAsia" w:ascii="仿宋" w:hAnsi="仿宋" w:eastAsia="仿宋" w:cs="仿宋"/>
          <w:b/>
          <w:sz w:val="36"/>
          <w:highlight w:val="none"/>
        </w:rPr>
      </w:pPr>
      <w:r>
        <w:rPr>
          <w:rFonts w:hint="eastAsia" w:ascii="仿宋" w:hAnsi="仿宋" w:eastAsia="仿宋" w:cs="仿宋"/>
          <w:b/>
          <w:sz w:val="36"/>
          <w:highlight w:val="none"/>
        </w:rPr>
        <w:t>甲    方:</w:t>
      </w:r>
      <w:r>
        <w:rPr>
          <w:rFonts w:hint="eastAsia" w:ascii="仿宋" w:hAnsi="仿宋" w:eastAsia="仿宋" w:cs="仿宋"/>
          <w:b/>
          <w:sz w:val="36"/>
          <w:highlight w:val="none"/>
          <w:u w:val="single"/>
        </w:rPr>
        <w:t xml:space="preserve">            </w:t>
      </w:r>
      <w:r>
        <w:rPr>
          <w:rFonts w:hint="eastAsia" w:ascii="仿宋" w:hAnsi="仿宋" w:eastAsia="仿宋" w:cs="仿宋"/>
          <w:sz w:val="30"/>
          <w:szCs w:val="30"/>
          <w:highlight w:val="none"/>
          <w:u w:val="single"/>
        </w:rPr>
        <w:t xml:space="preserve">                </w:t>
      </w:r>
    </w:p>
    <w:p>
      <w:pPr>
        <w:wordWrap w:val="0"/>
        <w:spacing w:before="290" w:beforeLines="100"/>
        <w:ind w:firstLine="885" w:firstLineChars="245"/>
        <w:rPr>
          <w:rFonts w:hint="eastAsia" w:ascii="仿宋" w:hAnsi="仿宋" w:eastAsia="仿宋" w:cs="仿宋"/>
          <w:b/>
          <w:sz w:val="24"/>
          <w:highlight w:val="none"/>
          <w:u w:val="single"/>
        </w:rPr>
      </w:pPr>
      <w:r>
        <w:rPr>
          <w:rFonts w:hint="eastAsia" w:ascii="仿宋" w:hAnsi="仿宋" w:eastAsia="仿宋" w:cs="仿宋"/>
          <w:b/>
          <w:sz w:val="36"/>
          <w:highlight w:val="none"/>
        </w:rPr>
        <w:t>乙    方:</w:t>
      </w:r>
      <w:r>
        <w:rPr>
          <w:rFonts w:hint="eastAsia" w:ascii="仿宋" w:hAnsi="仿宋" w:eastAsia="仿宋" w:cs="仿宋"/>
          <w:b/>
          <w:sz w:val="36"/>
          <w:highlight w:val="none"/>
          <w:u w:val="single"/>
        </w:rPr>
        <w:t xml:space="preserve">                 </w:t>
      </w:r>
      <w:r>
        <w:rPr>
          <w:rFonts w:hint="eastAsia" w:ascii="仿宋" w:hAnsi="仿宋" w:eastAsia="仿宋" w:cs="仿宋"/>
          <w:bCs/>
          <w:sz w:val="36"/>
          <w:highlight w:val="none"/>
          <w:u w:val="single"/>
        </w:rPr>
        <w:t xml:space="preserve">        </w:t>
      </w:r>
    </w:p>
    <w:p>
      <w:pPr>
        <w:tabs>
          <w:tab w:val="left" w:pos="7449"/>
        </w:tabs>
        <w:wordWrap w:val="0"/>
        <w:spacing w:before="290" w:beforeLines="100"/>
        <w:ind w:left="359" w:leftChars="171" w:firstLine="542" w:firstLineChars="150"/>
        <w:rPr>
          <w:rFonts w:hint="eastAsia" w:ascii="仿宋" w:hAnsi="仿宋" w:eastAsia="仿宋" w:cs="仿宋"/>
          <w:b/>
          <w:sz w:val="36"/>
          <w:highlight w:val="none"/>
          <w:u w:val="single"/>
        </w:rPr>
      </w:pPr>
      <w:r>
        <w:rPr>
          <w:rFonts w:hint="eastAsia" w:ascii="仿宋" w:hAnsi="仿宋" w:eastAsia="仿宋" w:cs="仿宋"/>
          <w:b/>
          <w:bCs/>
          <w:sz w:val="36"/>
          <w:highlight w:val="none"/>
          <w:lang w:eastAsia="zh-CN"/>
        </w:rPr>
        <w:t>采购代理机构</w:t>
      </w:r>
      <w:r>
        <w:rPr>
          <w:rFonts w:hint="eastAsia" w:ascii="仿宋" w:hAnsi="仿宋" w:eastAsia="仿宋" w:cs="仿宋"/>
          <w:bCs/>
          <w:sz w:val="36"/>
          <w:highlight w:val="none"/>
        </w:rPr>
        <w:t>：</w:t>
      </w:r>
      <w:r>
        <w:rPr>
          <w:rFonts w:hint="eastAsia" w:ascii="仿宋" w:hAnsi="仿宋" w:eastAsia="仿宋" w:cs="仿宋"/>
          <w:b/>
          <w:sz w:val="36"/>
          <w:highlight w:val="none"/>
          <w:u w:val="single"/>
        </w:rPr>
        <w:t xml:space="preserve">                    </w:t>
      </w:r>
    </w:p>
    <w:p>
      <w:pPr>
        <w:wordWrap w:val="0"/>
        <w:spacing w:before="290" w:beforeLines="100"/>
        <w:ind w:left="359" w:leftChars="171" w:firstLine="542" w:firstLineChars="150"/>
        <w:rPr>
          <w:rFonts w:hint="eastAsia" w:ascii="仿宋" w:hAnsi="仿宋" w:eastAsia="仿宋" w:cs="仿宋"/>
          <w:bCs/>
          <w:sz w:val="36"/>
          <w:highlight w:val="none"/>
          <w:u w:val="single"/>
        </w:rPr>
      </w:pPr>
      <w:r>
        <w:rPr>
          <w:rFonts w:hint="eastAsia" w:ascii="仿宋" w:hAnsi="仿宋" w:eastAsia="仿宋" w:cs="仿宋"/>
          <w:b/>
          <w:bCs/>
          <w:sz w:val="36"/>
          <w:highlight w:val="none"/>
        </w:rPr>
        <w:t>合同生成日期</w:t>
      </w:r>
      <w:r>
        <w:rPr>
          <w:rFonts w:hint="eastAsia" w:ascii="仿宋" w:hAnsi="仿宋" w:eastAsia="仿宋" w:cs="仿宋"/>
          <w:bCs/>
          <w:sz w:val="36"/>
          <w:highlight w:val="none"/>
        </w:rPr>
        <w:t>：</w:t>
      </w:r>
      <w:r>
        <w:rPr>
          <w:rFonts w:hint="eastAsia" w:ascii="仿宋" w:hAnsi="仿宋" w:eastAsia="仿宋" w:cs="仿宋"/>
          <w:bCs/>
          <w:sz w:val="36"/>
          <w:highlight w:val="none"/>
          <w:u w:val="single"/>
        </w:rPr>
        <w:t xml:space="preserve">                    </w:t>
      </w:r>
    </w:p>
    <w:p>
      <w:pPr>
        <w:snapToGrid w:val="0"/>
        <w:spacing w:line="700" w:lineRule="exact"/>
        <w:ind w:firstLine="480"/>
        <w:rPr>
          <w:rFonts w:hint="eastAsia" w:ascii="仿宋" w:hAnsi="仿宋" w:eastAsia="仿宋" w:cs="仿宋"/>
          <w:bCs/>
          <w:sz w:val="24"/>
          <w:szCs w:val="20"/>
          <w:highlight w:val="none"/>
          <w:u w:val="single"/>
          <w:lang w:val="en-US" w:eastAsia="zh-CN"/>
        </w:rPr>
      </w:pPr>
    </w:p>
    <w:p>
      <w:pPr>
        <w:snapToGrid w:val="0"/>
        <w:spacing w:line="700" w:lineRule="exact"/>
        <w:ind w:firstLine="480"/>
        <w:rPr>
          <w:rFonts w:hint="eastAsia" w:ascii="仿宋" w:hAnsi="仿宋" w:eastAsia="仿宋" w:cs="仿宋"/>
          <w:bCs/>
          <w:sz w:val="24"/>
          <w:szCs w:val="20"/>
          <w:highlight w:val="none"/>
          <w:u w:val="single"/>
          <w:lang w:val="en-US" w:eastAsia="zh-CN"/>
        </w:rPr>
      </w:pPr>
    </w:p>
    <w:p>
      <w:pPr>
        <w:snapToGrid w:val="0"/>
        <w:spacing w:line="700" w:lineRule="exact"/>
        <w:ind w:firstLine="480"/>
        <w:rPr>
          <w:rFonts w:hint="eastAsia" w:ascii="仿宋" w:hAnsi="仿宋" w:eastAsia="仿宋" w:cs="仿宋"/>
          <w:bCs/>
          <w:sz w:val="24"/>
          <w:szCs w:val="20"/>
          <w:highlight w:val="none"/>
          <w:u w:val="single"/>
        </w:rPr>
      </w:pPr>
      <w:r>
        <w:rPr>
          <w:rFonts w:hint="eastAsia" w:ascii="仿宋" w:hAnsi="仿宋" w:eastAsia="仿宋" w:cs="仿宋"/>
          <w:bCs/>
          <w:sz w:val="24"/>
          <w:szCs w:val="20"/>
          <w:highlight w:val="none"/>
          <w:u w:val="single"/>
          <w:lang w:val="en-US" w:eastAsia="zh-CN"/>
        </w:rPr>
        <w:t>注：本合同格式仅供参考，具体合同条款以签订合同前甲方提供的版本为准。</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Cs/>
          <w:sz w:val="24"/>
          <w:highlight w:val="none"/>
          <w:u w:val="single"/>
          <w:lang w:eastAsia="zh-CN"/>
        </w:rPr>
        <w:t>山东第一医科大学（山东省医学科学院）</w:t>
      </w:r>
      <w:r>
        <w:rPr>
          <w:rFonts w:hint="eastAsia" w:ascii="仿宋" w:hAnsi="仿宋" w:eastAsia="仿宋" w:cs="仿宋"/>
          <w:sz w:val="24"/>
          <w:highlight w:val="none"/>
        </w:rPr>
        <w:t>（甲方）所需</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(项目名称)经 山东华仁永旺招标有限公司以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在国内以</w:t>
      </w:r>
      <w:r>
        <w:rPr>
          <w:rFonts w:hint="eastAsia" w:ascii="仿宋" w:hAnsi="仿宋" w:eastAsia="仿宋" w:cs="仿宋"/>
          <w:sz w:val="24"/>
          <w:highlight w:val="none"/>
          <w:lang w:eastAsia="zh-CN"/>
        </w:rPr>
        <w:t>单一来源</w:t>
      </w:r>
      <w:r>
        <w:rPr>
          <w:rFonts w:hint="eastAsia" w:ascii="仿宋" w:hAnsi="仿宋" w:eastAsia="仿宋" w:cs="仿宋"/>
          <w:sz w:val="24"/>
          <w:highlight w:val="none"/>
        </w:rPr>
        <w:t>方式进行采购。经</w:t>
      </w:r>
      <w:r>
        <w:rPr>
          <w:rFonts w:hint="eastAsia" w:ascii="仿宋" w:hAnsi="仿宋" w:eastAsia="仿宋" w:cs="仿宋"/>
          <w:sz w:val="24"/>
          <w:highlight w:val="none"/>
          <w:lang w:eastAsia="zh-CN"/>
        </w:rPr>
        <w:t>谈判小组</w:t>
      </w:r>
      <w:r>
        <w:rPr>
          <w:rFonts w:hint="eastAsia" w:ascii="仿宋" w:hAnsi="仿宋" w:eastAsia="仿宋" w:cs="仿宋"/>
          <w:sz w:val="24"/>
          <w:highlight w:val="none"/>
        </w:rPr>
        <w:t xml:space="preserve">确定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（乙方）为</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。甲、乙双方根据《中华人民共和国政府采购法》、《</w:t>
      </w:r>
      <w:r>
        <w:rPr>
          <w:rFonts w:hint="eastAsia" w:ascii="仿宋" w:hAnsi="仿宋" w:eastAsia="仿宋" w:cs="仿宋"/>
          <w:sz w:val="24"/>
          <w:highlight w:val="none"/>
          <w:lang w:eastAsia="zh-CN"/>
        </w:rPr>
        <w:t>中华人民共和国民法典</w:t>
      </w:r>
      <w:r>
        <w:rPr>
          <w:rFonts w:hint="eastAsia" w:ascii="仿宋" w:hAnsi="仿宋" w:eastAsia="仿宋" w:cs="仿宋"/>
          <w:sz w:val="24"/>
          <w:highlight w:val="none"/>
        </w:rPr>
        <w:t>》等相关法律以及本项目</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的规定，经平等协商达成合同如下：</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一、合同文件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本合同所附下列文件是构成本合同不可分割的部分：</w:t>
      </w:r>
    </w:p>
    <w:p>
      <w:pPr>
        <w:snapToGrid w:val="0"/>
        <w:spacing w:line="700" w:lineRule="exact"/>
        <w:ind w:firstLine="480"/>
        <w:rPr>
          <w:rFonts w:hint="eastAsia" w:ascii="仿宋" w:hAnsi="仿宋" w:eastAsia="仿宋" w:cs="仿宋"/>
          <w:sz w:val="24"/>
          <w:highlight w:val="none"/>
          <w:lang w:eastAsia="zh-CN"/>
        </w:rPr>
      </w:pPr>
      <w:r>
        <w:rPr>
          <w:rFonts w:hint="eastAsia" w:ascii="仿宋" w:hAnsi="仿宋" w:eastAsia="仿宋" w:cs="仿宋"/>
          <w:sz w:val="24"/>
          <w:highlight w:val="none"/>
        </w:rPr>
        <w:t>（一）本项目</w:t>
      </w:r>
      <w:r>
        <w:rPr>
          <w:rFonts w:hint="eastAsia" w:ascii="仿宋" w:hAnsi="仿宋" w:eastAsia="仿宋" w:cs="仿宋"/>
          <w:sz w:val="24"/>
          <w:highlight w:val="none"/>
          <w:lang w:eastAsia="zh-CN"/>
        </w:rPr>
        <w:t>采购文件</w:t>
      </w:r>
    </w:p>
    <w:p>
      <w:pPr>
        <w:snapToGrid w:val="0"/>
        <w:spacing w:line="700" w:lineRule="exact"/>
        <w:ind w:firstLine="480"/>
        <w:rPr>
          <w:rFonts w:hint="eastAsia" w:ascii="仿宋" w:hAnsi="仿宋" w:eastAsia="仿宋" w:cs="仿宋"/>
          <w:sz w:val="24"/>
          <w:highlight w:val="none"/>
          <w:lang w:eastAsia="zh-CN"/>
        </w:rPr>
      </w:pPr>
      <w:r>
        <w:rPr>
          <w:rFonts w:hint="eastAsia" w:ascii="仿宋" w:hAnsi="仿宋" w:eastAsia="仿宋" w:cs="仿宋"/>
          <w:sz w:val="24"/>
          <w:highlight w:val="none"/>
        </w:rPr>
        <w:t>（二）</w:t>
      </w:r>
      <w:r>
        <w:rPr>
          <w:rFonts w:hint="eastAsia" w:ascii="仿宋" w:hAnsi="仿宋" w:eastAsia="仿宋" w:cs="仿宋"/>
          <w:sz w:val="24"/>
          <w:highlight w:val="none"/>
          <w:lang w:eastAsia="zh-CN"/>
        </w:rPr>
        <w:t>成交供应商响应文件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（三）合同格式、合同条款</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（四）</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在评标过程中做出的有关澄清、说明或者补正文件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（五）中标通知书</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（六）本合同附件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二、合同的范围和条件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本合同的范围和条件应与上述合同文件的规定相一致。</w:t>
      </w:r>
    </w:p>
    <w:p>
      <w:pPr>
        <w:snapToGrid w:val="0"/>
        <w:spacing w:line="700" w:lineRule="exact"/>
        <w:ind w:firstLine="480"/>
        <w:rPr>
          <w:rFonts w:hint="default" w:ascii="仿宋" w:hAnsi="仿宋" w:eastAsia="仿宋" w:cs="仿宋"/>
          <w:sz w:val="24"/>
          <w:highlight w:val="none"/>
          <w:lang w:val="en-US" w:eastAsia="zh-CN"/>
        </w:rPr>
      </w:pPr>
      <w:r>
        <w:rPr>
          <w:rFonts w:hint="eastAsia" w:ascii="仿宋" w:hAnsi="仿宋" w:eastAsia="仿宋" w:cs="仿宋"/>
          <w:b/>
          <w:bCs/>
          <w:sz w:val="24"/>
          <w:highlight w:val="none"/>
        </w:rPr>
        <w:t>三、</w:t>
      </w:r>
      <w:r>
        <w:rPr>
          <w:rFonts w:hint="eastAsia" w:ascii="仿宋" w:hAnsi="仿宋" w:eastAsia="仿宋" w:cs="仿宋"/>
          <w:b/>
          <w:bCs/>
          <w:sz w:val="24"/>
          <w:highlight w:val="none"/>
          <w:lang w:val="en-US" w:eastAsia="zh-CN"/>
        </w:rPr>
        <w:t>服务内容</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四、合同金额</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根据上述合同文件要求，合同金额为人民币￥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。（分项价格、供货清单和售后服务承诺详见本合同详见附页）。</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乙方开户单位：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pPr>
        <w:snapToGrid w:val="0"/>
        <w:spacing w:line="700" w:lineRule="exact"/>
        <w:ind w:firstLine="480"/>
        <w:rPr>
          <w:rFonts w:hint="eastAsia" w:ascii="仿宋" w:hAnsi="仿宋" w:eastAsia="仿宋" w:cs="仿宋"/>
          <w:sz w:val="24"/>
          <w:highlight w:val="none"/>
          <w:u w:val="single"/>
        </w:rPr>
      </w:pPr>
      <w:r>
        <w:rPr>
          <w:rFonts w:hint="eastAsia" w:ascii="仿宋" w:hAnsi="仿宋" w:eastAsia="仿宋" w:cs="仿宋"/>
          <w:sz w:val="24"/>
          <w:highlight w:val="none"/>
        </w:rPr>
        <w:t>开户银行：</w:t>
      </w:r>
      <w:r>
        <w:rPr>
          <w:rFonts w:hint="eastAsia" w:ascii="仿宋" w:hAnsi="仿宋" w:eastAsia="仿宋" w:cs="仿宋"/>
          <w:sz w:val="24"/>
          <w:highlight w:val="none"/>
          <w:u w:val="single"/>
        </w:rPr>
        <w:t xml:space="preserve">                   </w:t>
      </w:r>
    </w:p>
    <w:p>
      <w:pPr>
        <w:snapToGrid w:val="0"/>
        <w:spacing w:line="700" w:lineRule="exact"/>
        <w:ind w:firstLine="480"/>
        <w:rPr>
          <w:rFonts w:hint="eastAsia" w:ascii="仿宋" w:hAnsi="仿宋" w:eastAsia="仿宋" w:cs="仿宋"/>
          <w:sz w:val="24"/>
          <w:highlight w:val="none"/>
          <w:u w:val="single"/>
        </w:rPr>
      </w:pPr>
      <w:r>
        <w:rPr>
          <w:rFonts w:hint="eastAsia" w:ascii="仿宋" w:hAnsi="仿宋" w:eastAsia="仿宋" w:cs="仿宋"/>
          <w:sz w:val="24"/>
          <w:highlight w:val="none"/>
        </w:rPr>
        <w:t>帐号：</w:t>
      </w:r>
      <w:r>
        <w:rPr>
          <w:rFonts w:hint="eastAsia" w:ascii="仿宋" w:hAnsi="仿宋" w:eastAsia="仿宋" w:cs="仿宋"/>
          <w:sz w:val="24"/>
          <w:highlight w:val="none"/>
          <w:u w:val="single"/>
        </w:rPr>
        <w:t xml:space="preserve">                       </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五、付款方式</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六、交付日期和地点</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1、交付日期：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2、交付地点：甲方指定地点</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七、履约保证金</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lang w:eastAsia="zh-CN"/>
        </w:rPr>
        <w:t>按采购人要求</w:t>
      </w:r>
      <w:r>
        <w:rPr>
          <w:rFonts w:hint="eastAsia" w:ascii="仿宋" w:hAnsi="仿宋" w:eastAsia="仿宋" w:cs="仿宋"/>
          <w:sz w:val="24"/>
          <w:highlight w:val="none"/>
        </w:rPr>
        <w:t>。</w:t>
      </w:r>
    </w:p>
    <w:p>
      <w:pPr>
        <w:numPr>
          <w:ilvl w:val="1"/>
          <w:numId w:val="3"/>
        </w:numPr>
        <w:snapToGrid w:val="0"/>
        <w:spacing w:line="700" w:lineRule="exact"/>
        <w:rPr>
          <w:rFonts w:hint="eastAsia" w:ascii="仿宋" w:hAnsi="仿宋" w:eastAsia="仿宋" w:cs="仿宋"/>
          <w:b/>
          <w:bCs/>
          <w:sz w:val="24"/>
          <w:highlight w:val="none"/>
        </w:rPr>
      </w:pPr>
      <w:r>
        <w:rPr>
          <w:rFonts w:hint="eastAsia" w:ascii="仿宋" w:hAnsi="仿宋" w:eastAsia="仿宋" w:cs="仿宋"/>
          <w:b/>
          <w:bCs/>
          <w:sz w:val="24"/>
          <w:highlight w:val="none"/>
        </w:rPr>
        <w:t>合同生效</w:t>
      </w:r>
    </w:p>
    <w:p>
      <w:pPr>
        <w:snapToGrid w:val="0"/>
        <w:spacing w:line="700" w:lineRule="exact"/>
        <w:ind w:left="420"/>
        <w:rPr>
          <w:rFonts w:hint="eastAsia" w:ascii="仿宋" w:hAnsi="仿宋" w:eastAsia="仿宋" w:cs="仿宋"/>
          <w:sz w:val="24"/>
          <w:highlight w:val="none"/>
        </w:rPr>
      </w:pPr>
      <w:r>
        <w:rPr>
          <w:rFonts w:hint="eastAsia" w:ascii="仿宋" w:hAnsi="仿宋" w:eastAsia="仿宋" w:cs="仿宋"/>
          <w:sz w:val="24"/>
          <w:highlight w:val="none"/>
        </w:rPr>
        <w:t>本合同为附条件生效合同，除甲乙双方签章，还应满足以下两个条件时合同生效：</w:t>
      </w:r>
    </w:p>
    <w:p>
      <w:pPr>
        <w:tabs>
          <w:tab w:val="right" w:pos="8651"/>
        </w:tabs>
        <w:snapToGrid w:val="0"/>
        <w:spacing w:line="700" w:lineRule="exact"/>
        <w:ind w:left="420"/>
        <w:rPr>
          <w:rFonts w:hint="eastAsia" w:ascii="仿宋" w:hAnsi="仿宋" w:eastAsia="仿宋" w:cs="仿宋"/>
          <w:sz w:val="24"/>
          <w:highlight w:val="none"/>
        </w:rPr>
      </w:pPr>
      <w:r>
        <w:rPr>
          <w:rFonts w:hint="eastAsia" w:ascii="仿宋" w:hAnsi="仿宋" w:eastAsia="仿宋" w:cs="仿宋"/>
          <w:sz w:val="24"/>
          <w:highlight w:val="none"/>
        </w:rPr>
        <w:t>1、 乙方交纳服务费、见证费。</w:t>
      </w:r>
    </w:p>
    <w:p>
      <w:pPr>
        <w:snapToGrid w:val="0"/>
        <w:spacing w:line="700" w:lineRule="exact"/>
        <w:ind w:left="420"/>
        <w:rPr>
          <w:rFonts w:hint="eastAsia" w:ascii="仿宋" w:hAnsi="仿宋" w:eastAsia="仿宋" w:cs="仿宋"/>
          <w:sz w:val="24"/>
          <w:highlight w:val="none"/>
        </w:rPr>
      </w:pPr>
      <w:r>
        <w:rPr>
          <w:rFonts w:hint="eastAsia" w:ascii="仿宋" w:hAnsi="仿宋" w:eastAsia="仿宋" w:cs="仿宋"/>
          <w:sz w:val="24"/>
          <w:highlight w:val="none"/>
        </w:rPr>
        <w:t>2、 本合同加盖山东华仁永旺有限公司合同审核章。</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九、违约条款</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1、乙方延迟交货，每延迟1日，按应合同总额1‰支付违约金。</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2、乙方所交付的货物品种、型号、规格和数量不符合本合同规定的，甲方有权拒收。甲方拒收后，乙方应按合同约定及时调换，在调换货物期间，应每日按合同总额1‰向甲方支付违约金。</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3、甲方无故延迟验收货物，延迟验收期间造成的损失由甲方承担。</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4、一方不按期履行合同，并经另一方提示后30日内仍不履行合同的，守约方有权解除合同，违约方要承担相应的赔偿责任。</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5、如因一方违约，双方未能就赔偿损失达成协议，引起诉讼或仲裁时，违约方除应赔偿对方经济损失外，还应承担对方因诉讼或仲裁所支付的律师代理费等相关费用。</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6、其他应承担的违约责任，以《</w:t>
      </w:r>
      <w:r>
        <w:rPr>
          <w:rFonts w:hint="eastAsia" w:ascii="仿宋" w:hAnsi="仿宋" w:eastAsia="仿宋" w:cs="仿宋"/>
          <w:sz w:val="24"/>
          <w:highlight w:val="none"/>
          <w:lang w:eastAsia="zh-CN"/>
        </w:rPr>
        <w:t>中华人民共和国民法典</w:t>
      </w:r>
      <w:r>
        <w:rPr>
          <w:rFonts w:hint="eastAsia" w:ascii="仿宋" w:hAnsi="仿宋" w:eastAsia="仿宋" w:cs="仿宋"/>
          <w:sz w:val="24"/>
          <w:highlight w:val="none"/>
        </w:rPr>
        <w:t>》和其他有关法律、法规规定为准，无相关规定的双方协商解决。</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十、不可抗力条款</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因不可抗力致使一方不能及时或完全履行合同的，应及时通知山东华仁永旺招标有限公司及另一方，双方互不承担责任，并在15天内提供有关不可抗力的相应证明。合同未履行部分是否继续履行、如何履行等问题，可由双方协商解决。</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十一、争议的解决方式</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  </w:t>
      </w:r>
      <w:r>
        <w:rPr>
          <w:rFonts w:hint="eastAsia" w:ascii="仿宋" w:hAnsi="仿宋" w:eastAsia="仿宋" w:cs="仿宋"/>
          <w:sz w:val="24"/>
          <w:highlight w:val="none"/>
        </w:rPr>
        <w:t>合同发生纠纷时，双方应协商解决，协商不成可以采用下列方式解决：</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（1）提交济南仲裁委员会仲裁；（2）向甲方所在地人民法院起诉。</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sz w:val="24"/>
          <w:highlight w:val="none"/>
        </w:rPr>
        <w:t>本合同发生纠纷，经双方协商不能解决时，采用第（</w:t>
      </w:r>
      <w:r>
        <w:rPr>
          <w:rFonts w:hint="eastAsia" w:ascii="仿宋" w:hAnsi="仿宋" w:eastAsia="仿宋" w:cs="仿宋"/>
          <w:sz w:val="24"/>
          <w:highlight w:val="none"/>
          <w:lang w:val="en-US" w:eastAsia="zh-CN"/>
        </w:rPr>
        <w:t>1</w:t>
      </w:r>
      <w:r>
        <w:rPr>
          <w:rFonts w:hint="eastAsia" w:ascii="仿宋" w:hAnsi="仿宋" w:eastAsia="仿宋" w:cs="仿宋"/>
          <w:sz w:val="24"/>
          <w:highlight w:val="none"/>
        </w:rPr>
        <w:t>）种方式予以解决。</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十二、合同保存</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本合同一式七份，甲方三份，乙方一份， 山东华仁永旺招标有限公司两份，山东省财政厅一份。</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甲    方：</w:t>
      </w:r>
      <w:r>
        <w:rPr>
          <w:rFonts w:hint="eastAsia" w:ascii="仿宋" w:hAnsi="仿宋" w:eastAsia="仿宋" w:cs="仿宋"/>
          <w:sz w:val="24"/>
          <w:highlight w:val="none"/>
          <w:lang w:eastAsia="zh-CN"/>
        </w:rPr>
        <w:t>山东第一医科大学（山东省医学科学院）</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乙    方：  </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 xml:space="preserve">单位名称(公章)：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单位名称(公章)：</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法定代表人或授权代理人：（签字）    法定代表人或授权代理人：（签字）    </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 xml:space="preserve">电    话：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电    话：           </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签订日期：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签订日期：</w:t>
      </w:r>
    </w:p>
    <w:p>
      <w:pPr>
        <w:spacing w:line="360" w:lineRule="auto"/>
        <w:ind w:firstLine="720" w:firstLineChars="200"/>
        <w:rPr>
          <w:rFonts w:hint="eastAsia" w:ascii="仿宋" w:hAnsi="仿宋" w:eastAsia="仿宋" w:cs="仿宋"/>
          <w:bCs/>
          <w:sz w:val="36"/>
          <w:highlight w:val="none"/>
          <w:u w:val="single"/>
        </w:rPr>
      </w:pPr>
    </w:p>
    <w:p>
      <w:pPr>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outlineLvl w:val="9"/>
        <w:rPr>
          <w:rFonts w:hint="eastAsia" w:ascii="仿宋" w:hAnsi="仿宋" w:eastAsia="仿宋" w:cs="仿宋"/>
          <w:sz w:val="36"/>
          <w:szCs w:val="36"/>
          <w:highlight w:val="none"/>
        </w:rPr>
      </w:pPr>
    </w:p>
    <w:bookmarkEnd w:id="118"/>
    <w:p>
      <w:pPr>
        <w:snapToGrid w:val="0"/>
        <w:spacing w:line="360" w:lineRule="auto"/>
        <w:rPr>
          <w:rFonts w:hint="eastAsia" w:ascii="仿宋" w:hAnsi="仿宋" w:eastAsia="仿宋" w:cs="仿宋"/>
          <w:b/>
          <w:sz w:val="36"/>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rPr>
          <w:rFonts w:hint="eastAsia" w:ascii="仿宋" w:hAnsi="仿宋" w:eastAsia="仿宋" w:cs="仿宋"/>
          <w:sz w:val="32"/>
          <w:szCs w:val="32"/>
          <w:highlight w:val="none"/>
        </w:rPr>
      </w:pPr>
      <w:bookmarkStart w:id="120" w:name="_Toc1552"/>
      <w:r>
        <w:rPr>
          <w:rFonts w:hint="eastAsia" w:ascii="仿宋" w:hAnsi="仿宋" w:eastAsia="仿宋" w:cs="仿宋"/>
          <w:sz w:val="32"/>
          <w:szCs w:val="32"/>
          <w:highlight w:val="none"/>
        </w:rPr>
        <w:br w:type="page"/>
      </w:r>
    </w:p>
    <w:p>
      <w:pPr>
        <w:pStyle w:val="5"/>
        <w:spacing w:before="0" w:after="145" w:afterLines="50" w:line="360" w:lineRule="auto"/>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第六章 附件</w:t>
      </w:r>
      <w:bookmarkEnd w:id="120"/>
    </w:p>
    <w:p>
      <w:pPr>
        <w:pStyle w:val="19"/>
        <w:spacing w:line="360" w:lineRule="auto"/>
        <w:ind w:left="0" w:leftChars="0" w:firstLine="0" w:firstLineChars="0"/>
        <w:jc w:val="left"/>
        <w:outlineLvl w:val="1"/>
        <w:rPr>
          <w:rFonts w:hint="eastAsia" w:ascii="仿宋" w:hAnsi="仿宋" w:eastAsia="仿宋" w:cs="仿宋"/>
          <w:highlight w:val="none"/>
        </w:rPr>
      </w:pPr>
      <w:bookmarkStart w:id="121" w:name="_Toc450834590"/>
      <w:bookmarkStart w:id="122" w:name="_Toc5272"/>
      <w:r>
        <w:rPr>
          <w:rFonts w:hint="eastAsia" w:ascii="仿宋" w:hAnsi="仿宋" w:eastAsia="仿宋" w:cs="仿宋"/>
          <w:highlight w:val="none"/>
        </w:rPr>
        <w:t>附件一</w:t>
      </w:r>
      <w:bookmarkEnd w:id="121"/>
      <w:bookmarkEnd w:id="122"/>
    </w:p>
    <w:p>
      <w:pPr>
        <w:pStyle w:val="18"/>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投 标 函</w:t>
      </w:r>
    </w:p>
    <w:p>
      <w:pPr>
        <w:pStyle w:val="18"/>
        <w:spacing w:after="0" w:line="360" w:lineRule="auto"/>
        <w:rPr>
          <w:rFonts w:hint="eastAsia" w:ascii="仿宋" w:hAnsi="仿宋" w:eastAsia="仿宋" w:cs="仿宋"/>
          <w:sz w:val="24"/>
          <w:highlight w:val="none"/>
        </w:rPr>
      </w:pPr>
      <w:r>
        <w:rPr>
          <w:rFonts w:hint="eastAsia" w:ascii="仿宋" w:hAnsi="仿宋" w:eastAsia="仿宋" w:cs="仿宋"/>
          <w:sz w:val="24"/>
          <w:highlight w:val="none"/>
        </w:rPr>
        <w:t>山东华仁永旺招标有限公司：</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经研究，我方决定参加项目编号为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的招标采购项目并投标。为此，我方郑重声明以下诸点，并负法律责任。</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1、我方提交的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，正本一份，</w:t>
      </w:r>
      <w:r>
        <w:rPr>
          <w:rFonts w:hint="eastAsia" w:ascii="仿宋" w:hAnsi="仿宋" w:eastAsia="仿宋" w:cs="仿宋"/>
          <w:sz w:val="24"/>
          <w:highlight w:val="none"/>
          <w:lang w:eastAsia="zh-CN"/>
        </w:rPr>
        <w:t>副本四份</w:t>
      </w:r>
      <w:r>
        <w:rPr>
          <w:rFonts w:hint="eastAsia" w:ascii="仿宋" w:hAnsi="仿宋" w:eastAsia="仿宋" w:cs="仿宋"/>
          <w:sz w:val="24"/>
          <w:highlight w:val="none"/>
        </w:rPr>
        <w:t>，电子文件一份。</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2、我方对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完全认同。</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3、如果我方的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被接受，我方将履行</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中规定的每一项要求，并按我方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中的承诺按期、保质、保量提供货物。</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4、我方理解，最低报价不是成交的唯一条件，你们有选择</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的权利。</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5、我方愿按《</w:t>
      </w:r>
      <w:r>
        <w:rPr>
          <w:rFonts w:hint="eastAsia" w:ascii="仿宋" w:hAnsi="仿宋" w:eastAsia="仿宋" w:cs="仿宋"/>
          <w:sz w:val="24"/>
          <w:highlight w:val="none"/>
          <w:lang w:eastAsia="zh-CN"/>
        </w:rPr>
        <w:t>中华人民共和国民法典</w:t>
      </w:r>
      <w:r>
        <w:rPr>
          <w:rFonts w:hint="eastAsia" w:ascii="仿宋" w:hAnsi="仿宋" w:eastAsia="仿宋" w:cs="仿宋"/>
          <w:sz w:val="24"/>
          <w:highlight w:val="none"/>
        </w:rPr>
        <w:t>》履行自己的全部责任。</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6、我方同意按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规定交纳投标保证金、成交服务费、公证费/见证费，遵守贵机构有关招标的各项规定。</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7、我方的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自开标之日起有效期为90日。</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8、与本投标有关的一切正式往来通讯请寄：</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代表姓名、职务（印刷体）：</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单位全称（公章）</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法定代表人或授权代理人签字：</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地    址：</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邮政编码：</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电    话：</w:t>
      </w:r>
    </w:p>
    <w:p>
      <w:pPr>
        <w:pStyle w:val="18"/>
        <w:spacing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9"/>
        <w:spacing w:line="360" w:lineRule="auto"/>
        <w:ind w:left="0" w:leftChars="0" w:firstLine="0" w:firstLineChars="0"/>
        <w:jc w:val="left"/>
        <w:outlineLvl w:val="1"/>
        <w:rPr>
          <w:rFonts w:hint="eastAsia" w:ascii="仿宋" w:hAnsi="仿宋" w:eastAsia="仿宋" w:cs="仿宋"/>
          <w:highlight w:val="none"/>
        </w:rPr>
      </w:pPr>
      <w:r>
        <w:rPr>
          <w:rFonts w:hint="eastAsia" w:ascii="仿宋" w:hAnsi="仿宋" w:eastAsia="仿宋" w:cs="仿宋"/>
          <w:sz w:val="24"/>
          <w:highlight w:val="none"/>
        </w:rPr>
        <w:br w:type="page"/>
      </w:r>
      <w:bookmarkStart w:id="123" w:name="_Toc13912"/>
      <w:bookmarkStart w:id="124" w:name="_Toc450834591"/>
      <w:r>
        <w:rPr>
          <w:rFonts w:hint="eastAsia" w:ascii="仿宋" w:hAnsi="仿宋" w:eastAsia="仿宋" w:cs="仿宋"/>
          <w:highlight w:val="none"/>
        </w:rPr>
        <w:t>附件二</w:t>
      </w:r>
      <w:bookmarkEnd w:id="123"/>
      <w:bookmarkEnd w:id="124"/>
    </w:p>
    <w:p>
      <w:pPr>
        <w:snapToGrid w:val="0"/>
        <w:spacing w:line="360" w:lineRule="auto"/>
        <w:jc w:val="center"/>
        <w:rPr>
          <w:rFonts w:hint="eastAsia" w:ascii="仿宋" w:hAnsi="仿宋" w:eastAsia="仿宋" w:cs="仿宋"/>
          <w:b/>
          <w:kern w:val="0"/>
          <w:sz w:val="24"/>
          <w:highlight w:val="none"/>
        </w:rPr>
      </w:pPr>
      <w:r>
        <w:rPr>
          <w:rFonts w:hint="eastAsia" w:ascii="仿宋" w:hAnsi="仿宋" w:eastAsia="仿宋" w:cs="仿宋"/>
          <w:b/>
          <w:sz w:val="30"/>
          <w:szCs w:val="30"/>
          <w:highlight w:val="none"/>
        </w:rPr>
        <w:t>法定代表人资格证明书</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单位名称：</w:t>
      </w:r>
      <w:r>
        <w:rPr>
          <w:rFonts w:hint="eastAsia" w:ascii="仿宋" w:hAnsi="仿宋" w:eastAsia="仿宋" w:cs="仿宋"/>
          <w:kern w:val="0"/>
          <w:sz w:val="24"/>
          <w:highlight w:val="none"/>
          <w:u w:val="single"/>
        </w:rPr>
        <w:t xml:space="preserve">            </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单位地址：</w:t>
      </w:r>
      <w:r>
        <w:rPr>
          <w:rFonts w:hint="eastAsia" w:ascii="仿宋" w:hAnsi="仿宋" w:eastAsia="仿宋" w:cs="仿宋"/>
          <w:kern w:val="0"/>
          <w:sz w:val="24"/>
          <w:highlight w:val="none"/>
          <w:u w:val="single"/>
        </w:rPr>
        <w:t xml:space="preserve">                      </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岁  职务</w:t>
      </w:r>
      <w:r>
        <w:rPr>
          <w:rFonts w:hint="eastAsia" w:ascii="仿宋" w:hAnsi="仿宋" w:eastAsia="仿宋" w:cs="仿宋"/>
          <w:kern w:val="0"/>
          <w:sz w:val="24"/>
          <w:highlight w:val="none"/>
          <w:u w:val="single"/>
        </w:rPr>
        <w:t xml:space="preserve">      </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为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（单位名称）的法定代表人，有权代表单位签署</w:t>
      </w:r>
      <w:r>
        <w:rPr>
          <w:rFonts w:hint="eastAsia" w:ascii="仿宋" w:hAnsi="仿宋" w:eastAsia="仿宋" w:cs="仿宋"/>
          <w:kern w:val="0"/>
          <w:sz w:val="24"/>
          <w:highlight w:val="none"/>
          <w:lang w:eastAsia="zh-CN"/>
        </w:rPr>
        <w:t>响应文件</w:t>
      </w:r>
      <w:r>
        <w:rPr>
          <w:rFonts w:hint="eastAsia" w:ascii="仿宋" w:hAnsi="仿宋" w:eastAsia="仿宋" w:cs="仿宋"/>
          <w:kern w:val="0"/>
          <w:sz w:val="24"/>
          <w:highlight w:val="none"/>
        </w:rPr>
        <w:t>、进行合同招标、签署合同和处理与之有关的一切事务，有权授权委托投标代理人。</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（盖章）：</w:t>
      </w:r>
    </w:p>
    <w:p>
      <w:pPr>
        <w:autoSpaceDE w:val="0"/>
        <w:autoSpaceDN w:val="0"/>
        <w:adjustRightInd w:val="0"/>
        <w:spacing w:line="360" w:lineRule="auto"/>
        <w:jc w:val="right"/>
        <w:rPr>
          <w:rFonts w:hint="eastAsia" w:ascii="仿宋" w:hAnsi="仿宋" w:eastAsia="仿宋" w:cs="仿宋"/>
          <w:kern w:val="0"/>
          <w:sz w:val="24"/>
          <w:highlight w:val="none"/>
        </w:rPr>
      </w:pPr>
      <w:r>
        <w:rPr>
          <w:rFonts w:hint="eastAsia" w:ascii="仿宋" w:hAnsi="仿宋" w:eastAsia="仿宋" w:cs="仿宋"/>
          <w:kern w:val="0"/>
          <w:sz w:val="24"/>
          <w:highlight w:val="none"/>
        </w:rPr>
        <w:t>年  月  日</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身份证复印件：</w:t>
      </w:r>
    </w:p>
    <w:tbl>
      <w:tblPr>
        <w:tblStyle w:val="43"/>
        <w:tblW w:w="6740" w:type="dxa"/>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4" w:hRule="atLeast"/>
        </w:trPr>
        <w:tc>
          <w:tcPr>
            <w:tcW w:w="6740" w:type="dxa"/>
            <w:vAlign w:val="center"/>
          </w:tcPr>
          <w:p>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在此处直接复印，不可粘贴</w:t>
            </w:r>
          </w:p>
        </w:tc>
      </w:tr>
    </w:tbl>
    <w:p>
      <w:pPr>
        <w:widowControl/>
        <w:spacing w:line="360" w:lineRule="auto"/>
        <w:jc w:val="left"/>
        <w:rPr>
          <w:rFonts w:hint="eastAsia" w:ascii="仿宋" w:hAnsi="仿宋" w:eastAsia="仿宋" w:cs="仿宋"/>
          <w:sz w:val="24"/>
          <w:highlight w:val="none"/>
        </w:rPr>
      </w:pP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sz w:val="24"/>
          <w:highlight w:val="none"/>
        </w:rPr>
        <w:br w:type="page"/>
      </w:r>
    </w:p>
    <w:p>
      <w:pPr>
        <w:pStyle w:val="18"/>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法定代表人授权委托书</w:t>
      </w:r>
    </w:p>
    <w:p>
      <w:pPr>
        <w:pStyle w:val="18"/>
        <w:spacing w:after="0" w:line="360" w:lineRule="auto"/>
        <w:jc w:val="center"/>
        <w:rPr>
          <w:rFonts w:hint="eastAsia" w:ascii="仿宋" w:hAnsi="仿宋" w:eastAsia="仿宋" w:cs="仿宋"/>
          <w:sz w:val="32"/>
          <w:highlight w:val="none"/>
        </w:rPr>
      </w:pPr>
    </w:p>
    <w:p>
      <w:pPr>
        <w:pStyle w:val="18"/>
        <w:spacing w:after="0" w:line="360" w:lineRule="auto"/>
        <w:jc w:val="left"/>
        <w:rPr>
          <w:rFonts w:hint="eastAsia" w:ascii="仿宋" w:hAnsi="仿宋" w:eastAsia="仿宋" w:cs="仿宋"/>
          <w:sz w:val="24"/>
          <w:highlight w:val="none"/>
        </w:rPr>
      </w:pPr>
      <w:r>
        <w:rPr>
          <w:rFonts w:hint="eastAsia" w:ascii="仿宋" w:hAnsi="仿宋" w:eastAsia="仿宋" w:cs="仿宋"/>
          <w:sz w:val="24"/>
          <w:highlight w:val="none"/>
        </w:rPr>
        <w:t>山东华仁永旺招标有限公司：</w:t>
      </w:r>
    </w:p>
    <w:p>
      <w:pPr>
        <w:pStyle w:val="18"/>
        <w:spacing w:after="0" w:line="360" w:lineRule="auto"/>
        <w:rPr>
          <w:rFonts w:hint="eastAsia" w:ascii="仿宋" w:hAnsi="仿宋" w:eastAsia="仿宋" w:cs="仿宋"/>
          <w:sz w:val="24"/>
          <w:highlight w:val="none"/>
        </w:rPr>
      </w:pP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名称）法定代表人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授权我公司</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（职务或职称）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（姓名）为我单位本次投标授权代理人，全权处理此次</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w:t>
      </w:r>
      <w:r>
        <w:rPr>
          <w:rFonts w:hint="eastAsia" w:ascii="仿宋" w:hAnsi="仿宋" w:eastAsia="仿宋" w:cs="仿宋"/>
          <w:sz w:val="24"/>
          <w:highlight w:val="none"/>
          <w:lang w:eastAsia="zh-CN"/>
        </w:rPr>
        <w:t>项目编号：SDGP370000000202302009261/sdhryw2023318</w:t>
      </w:r>
      <w:r>
        <w:rPr>
          <w:rFonts w:hint="eastAsia" w:ascii="仿宋" w:hAnsi="仿宋" w:eastAsia="仿宋" w:cs="仿宋"/>
          <w:sz w:val="24"/>
          <w:highlight w:val="none"/>
        </w:rPr>
        <w:t>）招标活动的一切事宜。</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特此授权。</w:t>
      </w:r>
    </w:p>
    <w:p>
      <w:pPr>
        <w:pStyle w:val="18"/>
        <w:spacing w:after="0" w:line="360" w:lineRule="auto"/>
        <w:rPr>
          <w:rFonts w:hint="eastAsia" w:ascii="仿宋" w:hAnsi="仿宋" w:eastAsia="仿宋" w:cs="仿宋"/>
          <w:sz w:val="24"/>
          <w:highlight w:val="none"/>
        </w:rPr>
      </w:pPr>
    </w:p>
    <w:p>
      <w:pPr>
        <w:pStyle w:val="18"/>
        <w:spacing w:after="0" w:line="360" w:lineRule="auto"/>
        <w:rPr>
          <w:rFonts w:hint="eastAsia" w:ascii="仿宋" w:hAnsi="仿宋" w:eastAsia="仿宋" w:cs="仿宋"/>
          <w:sz w:val="24"/>
          <w:highlight w:val="none"/>
        </w:rPr>
      </w:pPr>
    </w:p>
    <w:p>
      <w:pPr>
        <w:pStyle w:val="18"/>
        <w:spacing w:after="0" w:line="360" w:lineRule="auto"/>
        <w:rPr>
          <w:rFonts w:hint="eastAsia" w:ascii="仿宋" w:hAnsi="仿宋" w:eastAsia="仿宋" w:cs="仿宋"/>
          <w:sz w:val="24"/>
          <w:highlight w:val="none"/>
        </w:rPr>
      </w:pPr>
    </w:p>
    <w:p>
      <w:pPr>
        <w:pStyle w:val="18"/>
        <w:spacing w:after="0"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（附法人及授权代理人身份证明复印件）</w:t>
      </w:r>
    </w:p>
    <w:p>
      <w:pPr>
        <w:pStyle w:val="18"/>
        <w:spacing w:after="0" w:line="360" w:lineRule="auto"/>
        <w:rPr>
          <w:rFonts w:hint="eastAsia" w:ascii="仿宋" w:hAnsi="仿宋" w:eastAsia="仿宋" w:cs="仿宋"/>
          <w:sz w:val="24"/>
          <w:highlight w:val="none"/>
        </w:rPr>
      </w:pPr>
    </w:p>
    <w:p>
      <w:pPr>
        <w:pStyle w:val="18"/>
        <w:spacing w:after="0" w:line="360" w:lineRule="auto"/>
        <w:rPr>
          <w:rFonts w:hint="eastAsia" w:ascii="仿宋" w:hAnsi="仿宋" w:eastAsia="仿宋" w:cs="仿宋"/>
          <w:sz w:val="24"/>
          <w:highlight w:val="none"/>
        </w:rPr>
      </w:pPr>
    </w:p>
    <w:p>
      <w:pPr>
        <w:pStyle w:val="18"/>
        <w:spacing w:after="0" w:line="360" w:lineRule="auto"/>
        <w:rPr>
          <w:rFonts w:hint="eastAsia" w:ascii="仿宋" w:hAnsi="仿宋" w:eastAsia="仿宋" w:cs="仿宋"/>
          <w:sz w:val="24"/>
          <w:highlight w:val="none"/>
        </w:rPr>
      </w:pP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单位名称（公章）：</w:t>
      </w:r>
      <w:r>
        <w:rPr>
          <w:rFonts w:hint="eastAsia" w:ascii="仿宋" w:hAnsi="仿宋" w:eastAsia="仿宋" w:cs="仿宋"/>
          <w:sz w:val="24"/>
          <w:highlight w:val="none"/>
          <w:u w:val="single"/>
        </w:rPr>
        <w:t xml:space="preserve">                 </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法定代表人签字：</w:t>
      </w:r>
      <w:r>
        <w:rPr>
          <w:rFonts w:hint="eastAsia" w:ascii="仿宋" w:hAnsi="仿宋" w:eastAsia="仿宋" w:cs="仿宋"/>
          <w:sz w:val="24"/>
          <w:highlight w:val="none"/>
          <w:u w:val="single"/>
        </w:rPr>
        <w:t xml:space="preserve">                   </w:t>
      </w:r>
    </w:p>
    <w:p>
      <w:pPr>
        <w:pStyle w:val="18"/>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授权代理人签字：</w:t>
      </w:r>
      <w:r>
        <w:rPr>
          <w:rFonts w:hint="eastAsia" w:ascii="仿宋" w:hAnsi="仿宋" w:eastAsia="仿宋" w:cs="仿宋"/>
          <w:sz w:val="24"/>
          <w:highlight w:val="none"/>
          <w:u w:val="single"/>
        </w:rPr>
        <w:t xml:space="preserve">                   </w:t>
      </w:r>
    </w:p>
    <w:p>
      <w:pPr>
        <w:pStyle w:val="18"/>
        <w:spacing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9"/>
        <w:spacing w:line="360" w:lineRule="auto"/>
        <w:ind w:left="0" w:leftChars="0" w:firstLine="0" w:firstLineChars="0"/>
        <w:jc w:val="left"/>
        <w:outlineLvl w:val="1"/>
        <w:rPr>
          <w:rFonts w:hint="eastAsia" w:ascii="仿宋" w:hAnsi="仿宋" w:eastAsia="仿宋" w:cs="仿宋"/>
          <w:highlight w:val="none"/>
        </w:rPr>
      </w:pPr>
      <w:r>
        <w:rPr>
          <w:rFonts w:hint="eastAsia" w:ascii="仿宋" w:hAnsi="仿宋" w:eastAsia="仿宋" w:cs="仿宋"/>
          <w:sz w:val="24"/>
          <w:highlight w:val="none"/>
        </w:rPr>
        <w:br w:type="page"/>
      </w:r>
      <w:bookmarkStart w:id="125" w:name="_Toc450834592"/>
      <w:bookmarkStart w:id="126" w:name="_Toc28035"/>
      <w:r>
        <w:rPr>
          <w:rFonts w:hint="eastAsia" w:ascii="仿宋" w:hAnsi="仿宋" w:eastAsia="仿宋" w:cs="仿宋"/>
          <w:highlight w:val="none"/>
        </w:rPr>
        <w:t>附件三</w:t>
      </w:r>
      <w:bookmarkEnd w:id="125"/>
      <w:bookmarkEnd w:id="126"/>
    </w:p>
    <w:p>
      <w:pPr>
        <w:pStyle w:val="18"/>
        <w:spacing w:after="0" w:line="360" w:lineRule="auto"/>
        <w:jc w:val="center"/>
        <w:rPr>
          <w:rFonts w:hint="eastAsia" w:ascii="仿宋" w:hAnsi="仿宋" w:eastAsia="仿宋" w:cs="仿宋"/>
          <w:b/>
          <w:sz w:val="30"/>
          <w:szCs w:val="30"/>
          <w:highlight w:val="none"/>
          <w:lang w:eastAsia="zh-CN"/>
        </w:rPr>
      </w:pPr>
      <w:r>
        <w:rPr>
          <w:rFonts w:hint="eastAsia" w:ascii="仿宋" w:hAnsi="仿宋" w:eastAsia="仿宋" w:cs="仿宋"/>
          <w:b/>
          <w:sz w:val="30"/>
          <w:szCs w:val="30"/>
          <w:highlight w:val="none"/>
          <w:lang w:eastAsia="zh-CN"/>
        </w:rPr>
        <w:t>报价一览表</w:t>
      </w:r>
    </w:p>
    <w:p>
      <w:pPr>
        <w:pStyle w:val="18"/>
        <w:spacing w:after="0" w:line="360" w:lineRule="auto"/>
        <w:jc w:val="center"/>
        <w:rPr>
          <w:rFonts w:hint="eastAsia" w:ascii="仿宋" w:hAnsi="仿宋" w:eastAsia="仿宋" w:cs="仿宋"/>
          <w:bCs/>
          <w:highlight w:val="none"/>
        </w:rPr>
      </w:pPr>
      <w:r>
        <w:rPr>
          <w:rFonts w:hint="eastAsia" w:ascii="仿宋" w:hAnsi="仿宋" w:eastAsia="仿宋" w:cs="仿宋"/>
          <w:bCs/>
          <w:highlight w:val="none"/>
        </w:rPr>
        <w:t>（本表除</w:t>
      </w:r>
      <w:r>
        <w:rPr>
          <w:rFonts w:hint="eastAsia" w:ascii="仿宋" w:hAnsi="仿宋" w:eastAsia="仿宋" w:cs="仿宋"/>
          <w:bCs/>
          <w:highlight w:val="none"/>
          <w:lang w:eastAsia="zh-CN"/>
        </w:rPr>
        <w:t>响应文件</w:t>
      </w:r>
      <w:r>
        <w:rPr>
          <w:rFonts w:hint="eastAsia" w:ascii="仿宋" w:hAnsi="仿宋" w:eastAsia="仿宋" w:cs="仿宋"/>
          <w:bCs/>
          <w:highlight w:val="none"/>
        </w:rPr>
        <w:t>内包含外，另单独密封一式三份）</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r>
        <w:rPr>
          <w:rFonts w:hint="eastAsia" w:ascii="仿宋" w:hAnsi="仿宋" w:eastAsia="仿宋" w:cs="仿宋"/>
          <w:highlight w:val="none"/>
          <w:u w:val="single"/>
        </w:rPr>
        <w:t xml:space="preserve">                          </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法定代表人或授权代理人签字：</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单位：元</w:t>
      </w:r>
    </w:p>
    <w:tbl>
      <w:tblPr>
        <w:tblStyle w:val="43"/>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3936" w:type="dxa"/>
            <w:tcBorders>
              <w:bottom w:val="single" w:color="auto" w:sz="4" w:space="0"/>
            </w:tcBorders>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投标总价</w:t>
            </w:r>
          </w:p>
        </w:tc>
        <w:tc>
          <w:tcPr>
            <w:tcW w:w="5351" w:type="dxa"/>
            <w:tcBorders>
              <w:bottom w:val="single" w:color="auto" w:sz="4" w:space="0"/>
            </w:tcBorders>
            <w:vAlign w:val="center"/>
          </w:tcPr>
          <w:p>
            <w:pPr>
              <w:tabs>
                <w:tab w:val="left" w:pos="1337"/>
              </w:tabs>
              <w:spacing w:line="360" w:lineRule="auto"/>
              <w:rPr>
                <w:rFonts w:hint="eastAsia" w:ascii="仿宋" w:hAnsi="仿宋" w:eastAsia="仿宋" w:cs="仿宋"/>
                <w:sz w:val="24"/>
                <w:highlight w:val="none"/>
              </w:rPr>
            </w:pPr>
            <w:r>
              <w:rPr>
                <w:rFonts w:hint="eastAsia" w:ascii="仿宋" w:hAnsi="仿宋" w:eastAsia="仿宋" w:cs="仿宋"/>
                <w:sz w:val="24"/>
                <w:highlight w:val="none"/>
              </w:rPr>
              <w:t>大写：</w:t>
            </w:r>
          </w:p>
          <w:p>
            <w:pPr>
              <w:tabs>
                <w:tab w:val="left" w:pos="1337"/>
              </w:tabs>
              <w:spacing w:line="360" w:lineRule="auto"/>
              <w:rPr>
                <w:rFonts w:hint="eastAsia" w:ascii="仿宋" w:hAnsi="仿宋" w:eastAsia="仿宋" w:cs="仿宋"/>
                <w:sz w:val="24"/>
                <w:highlight w:val="none"/>
              </w:rPr>
            </w:pPr>
            <w:r>
              <w:rPr>
                <w:rFonts w:hint="eastAsia" w:ascii="仿宋" w:hAnsi="仿宋" w:eastAsia="仿宋" w:cs="仿宋"/>
                <w:sz w:val="24"/>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3936" w:type="dxa"/>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对采购文件的认同程度</w:t>
            </w:r>
          </w:p>
        </w:tc>
        <w:tc>
          <w:tcPr>
            <w:tcW w:w="5351"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3936" w:type="dxa"/>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备注</w:t>
            </w:r>
          </w:p>
        </w:tc>
        <w:tc>
          <w:tcPr>
            <w:tcW w:w="5351" w:type="dxa"/>
            <w:vAlign w:val="center"/>
          </w:tcPr>
          <w:p>
            <w:pPr>
              <w:tabs>
                <w:tab w:val="left" w:pos="1337"/>
              </w:tabs>
              <w:spacing w:line="360" w:lineRule="auto"/>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注：</w:t>
      </w:r>
    </w:p>
    <w:p>
      <w:pPr>
        <w:pStyle w:val="15"/>
        <w:spacing w:before="0"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9"/>
        <w:spacing w:line="360" w:lineRule="auto"/>
        <w:ind w:left="0" w:leftChars="0" w:firstLine="0" w:firstLineChars="0"/>
        <w:jc w:val="left"/>
        <w:outlineLvl w:val="1"/>
        <w:rPr>
          <w:rFonts w:hint="eastAsia" w:ascii="仿宋" w:hAnsi="仿宋" w:eastAsia="仿宋" w:cs="仿宋"/>
          <w:highlight w:val="none"/>
        </w:rPr>
      </w:pPr>
      <w:bookmarkStart w:id="127" w:name="_Toc450834593"/>
      <w:r>
        <w:rPr>
          <w:rFonts w:hint="eastAsia" w:ascii="仿宋" w:hAnsi="仿宋" w:eastAsia="仿宋" w:cs="仿宋"/>
          <w:highlight w:val="none"/>
        </w:rPr>
        <w:br w:type="page"/>
      </w:r>
      <w:bookmarkStart w:id="128" w:name="_Toc9578"/>
      <w:r>
        <w:rPr>
          <w:rFonts w:hint="eastAsia" w:ascii="仿宋" w:hAnsi="仿宋" w:eastAsia="仿宋" w:cs="仿宋"/>
          <w:highlight w:val="none"/>
        </w:rPr>
        <w:t>附件四</w:t>
      </w:r>
      <w:bookmarkEnd w:id="127"/>
      <w:bookmarkEnd w:id="128"/>
    </w:p>
    <w:p>
      <w:pPr>
        <w:pStyle w:val="18"/>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分项报价表</w:t>
      </w:r>
    </w:p>
    <w:p>
      <w:pPr>
        <w:pStyle w:val="3"/>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rPr>
        <w:t>项目编号：</w:t>
      </w:r>
    </w:p>
    <w:p>
      <w:pPr>
        <w:spacing w:line="360" w:lineRule="auto"/>
        <w:jc w:val="left"/>
        <w:rPr>
          <w:rFonts w:hint="eastAsia" w:ascii="仿宋" w:hAnsi="仿宋" w:eastAsia="仿宋" w:cs="仿宋"/>
          <w:bCs/>
          <w:sz w:val="24"/>
          <w:highlight w:val="none"/>
          <w:u w:val="single"/>
        </w:rPr>
      </w:pP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名称（盖章）：</w:t>
      </w:r>
      <w:r>
        <w:rPr>
          <w:rFonts w:hint="eastAsia" w:ascii="仿宋" w:hAnsi="仿宋" w:eastAsia="仿宋" w:cs="仿宋"/>
          <w:bCs/>
          <w:sz w:val="24"/>
          <w:highlight w:val="none"/>
          <w:u w:val="single"/>
        </w:rPr>
        <w:t xml:space="preserve">                </w:t>
      </w:r>
    </w:p>
    <w:p>
      <w:pPr>
        <w:spacing w:line="360" w:lineRule="auto"/>
        <w:jc w:val="left"/>
        <w:rPr>
          <w:rFonts w:hint="eastAsia" w:ascii="仿宋" w:hAnsi="仿宋" w:eastAsia="仿宋" w:cs="仿宋"/>
          <w:sz w:val="24"/>
          <w:highlight w:val="none"/>
        </w:rPr>
      </w:pP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代表签字：</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 xml:space="preserve">                              </w:t>
      </w:r>
      <w:r>
        <w:rPr>
          <w:rFonts w:hint="eastAsia" w:ascii="仿宋" w:hAnsi="仿宋" w:eastAsia="仿宋" w:cs="仿宋"/>
          <w:sz w:val="24"/>
          <w:highlight w:val="none"/>
        </w:rPr>
        <w:t>单位：元</w:t>
      </w:r>
    </w:p>
    <w:tbl>
      <w:tblPr>
        <w:tblStyle w:val="43"/>
        <w:tblW w:w="9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7"/>
        <w:gridCol w:w="5325"/>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tcBorders>
              <w:bottom w:val="single" w:color="auto" w:sz="4" w:space="0"/>
            </w:tcBorders>
            <w:vAlign w:val="center"/>
          </w:tcPr>
          <w:p>
            <w:pPr>
              <w:tabs>
                <w:tab w:val="left" w:pos="1337"/>
              </w:tabs>
              <w:spacing w:line="360" w:lineRule="auto"/>
              <w:ind w:left="-42" w:right="-42"/>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5325" w:type="dxa"/>
            <w:tcBorders>
              <w:bottom w:val="single" w:color="auto" w:sz="4" w:space="0"/>
            </w:tcBorders>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名称</w:t>
            </w:r>
          </w:p>
        </w:tc>
        <w:tc>
          <w:tcPr>
            <w:tcW w:w="2526" w:type="dxa"/>
            <w:tcBorders>
              <w:bottom w:val="single" w:color="auto" w:sz="4" w:space="0"/>
            </w:tcBorders>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说明：可根据项目需要同格式扩展。</w:t>
      </w:r>
    </w:p>
    <w:p>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9"/>
        <w:spacing w:line="360" w:lineRule="auto"/>
        <w:ind w:left="0" w:leftChars="0" w:firstLine="0" w:firstLineChars="0"/>
        <w:jc w:val="left"/>
        <w:outlineLvl w:val="1"/>
        <w:rPr>
          <w:rFonts w:hint="eastAsia" w:ascii="仿宋" w:hAnsi="仿宋" w:eastAsia="仿宋" w:cs="仿宋"/>
          <w:highlight w:val="none"/>
        </w:rPr>
      </w:pPr>
      <w:r>
        <w:rPr>
          <w:rFonts w:hint="eastAsia" w:ascii="仿宋" w:hAnsi="仿宋" w:eastAsia="仿宋" w:cs="仿宋"/>
          <w:highlight w:val="none"/>
        </w:rPr>
        <w:br w:type="page"/>
      </w:r>
      <w:bookmarkStart w:id="129" w:name="_Toc450834594"/>
      <w:bookmarkStart w:id="130" w:name="_Toc3434"/>
      <w:bookmarkStart w:id="131" w:name="_Toc327452880"/>
      <w:r>
        <w:rPr>
          <w:rFonts w:hint="eastAsia" w:ascii="仿宋" w:hAnsi="仿宋" w:eastAsia="仿宋" w:cs="仿宋"/>
          <w:highlight w:val="none"/>
        </w:rPr>
        <w:t>附件五</w:t>
      </w:r>
      <w:bookmarkEnd w:id="129"/>
      <w:bookmarkEnd w:id="130"/>
      <w:bookmarkEnd w:id="131"/>
    </w:p>
    <w:p>
      <w:pPr>
        <w:pStyle w:val="18"/>
        <w:spacing w:after="0" w:line="360" w:lineRule="auto"/>
        <w:jc w:val="center"/>
        <w:rPr>
          <w:rFonts w:hint="eastAsia" w:ascii="仿宋" w:hAnsi="仿宋" w:eastAsia="仿宋" w:cs="仿宋"/>
          <w:b/>
          <w:sz w:val="30"/>
          <w:szCs w:val="30"/>
          <w:highlight w:val="none"/>
          <w:u w:val="single"/>
          <w:lang w:eastAsia="zh-CN"/>
        </w:rPr>
      </w:pPr>
      <w:r>
        <w:rPr>
          <w:rFonts w:hint="eastAsia" w:ascii="仿宋" w:hAnsi="仿宋" w:eastAsia="仿宋" w:cs="仿宋"/>
          <w:b/>
          <w:sz w:val="30"/>
          <w:szCs w:val="30"/>
          <w:highlight w:val="none"/>
          <w:lang w:eastAsia="zh-CN"/>
        </w:rPr>
        <w:t>投标偏离表（</w:t>
      </w:r>
      <w:r>
        <w:rPr>
          <w:rFonts w:hint="eastAsia" w:ascii="仿宋" w:hAnsi="仿宋" w:eastAsia="仿宋" w:cs="仿宋"/>
          <w:b/>
          <w:sz w:val="30"/>
          <w:szCs w:val="30"/>
          <w:highlight w:val="none"/>
          <w:lang w:val="en-US" w:eastAsia="zh-CN"/>
        </w:rPr>
        <w:t>商务/技术</w:t>
      </w:r>
      <w:r>
        <w:rPr>
          <w:rFonts w:hint="eastAsia" w:ascii="仿宋" w:hAnsi="仿宋" w:eastAsia="仿宋" w:cs="仿宋"/>
          <w:b/>
          <w:sz w:val="30"/>
          <w:szCs w:val="30"/>
          <w:highlight w:val="none"/>
          <w:lang w:eastAsia="zh-CN"/>
        </w:rPr>
        <w:t>）</w:t>
      </w:r>
    </w:p>
    <w:p>
      <w:pPr>
        <w:pStyle w:val="3"/>
        <w:spacing w:line="360" w:lineRule="auto"/>
        <w:ind w:left="0" w:leftChars="0" w:firstLine="0" w:firstLineChars="0"/>
        <w:jc w:val="left"/>
        <w:rPr>
          <w:rFonts w:hint="eastAsia" w:ascii="仿宋" w:hAnsi="仿宋" w:eastAsia="仿宋" w:cs="仿宋"/>
          <w:bCs/>
          <w:sz w:val="28"/>
          <w:highlight w:val="none"/>
        </w:rPr>
      </w:pPr>
      <w:r>
        <w:rPr>
          <w:rFonts w:hint="eastAsia" w:ascii="仿宋" w:hAnsi="仿宋" w:eastAsia="仿宋" w:cs="仿宋"/>
          <w:bCs/>
          <w:highlight w:val="none"/>
        </w:rPr>
        <w:t>项目编号：</w:t>
      </w:r>
    </w:p>
    <w:p>
      <w:pPr>
        <w:pStyle w:val="3"/>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lang w:eastAsia="zh-CN"/>
        </w:rPr>
        <w:t>供应商</w:t>
      </w:r>
      <w:r>
        <w:rPr>
          <w:rFonts w:hint="eastAsia" w:ascii="仿宋" w:hAnsi="仿宋" w:eastAsia="仿宋" w:cs="仿宋"/>
          <w:bCs/>
          <w:highlight w:val="none"/>
        </w:rPr>
        <w:t>名称：（公章）</w:t>
      </w:r>
      <w:r>
        <w:rPr>
          <w:rFonts w:hint="eastAsia" w:ascii="仿宋" w:hAnsi="仿宋" w:eastAsia="仿宋" w:cs="仿宋"/>
          <w:bCs/>
          <w:highlight w:val="none"/>
          <w:u w:val="single"/>
        </w:rPr>
        <w:t xml:space="preserve">                  </w:t>
      </w:r>
    </w:p>
    <w:p>
      <w:pPr>
        <w:pStyle w:val="3"/>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rPr>
        <w:t>法定代表人或授权代理人签字：</w:t>
      </w:r>
      <w:r>
        <w:rPr>
          <w:rFonts w:hint="eastAsia" w:ascii="仿宋" w:hAnsi="仿宋" w:eastAsia="仿宋" w:cs="仿宋"/>
          <w:bCs/>
          <w:highlight w:val="none"/>
          <w:u w:val="single"/>
        </w:rPr>
        <w:t xml:space="preserve">         </w:t>
      </w:r>
    </w:p>
    <w:tbl>
      <w:tblPr>
        <w:tblStyle w:val="43"/>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1895"/>
        <w:gridCol w:w="1891"/>
        <w:gridCol w:w="1475"/>
        <w:gridCol w:w="1737"/>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115"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序号</w:t>
            </w:r>
          </w:p>
        </w:tc>
        <w:tc>
          <w:tcPr>
            <w:tcW w:w="1895"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lang w:eastAsia="zh-CN"/>
              </w:rPr>
              <w:t>采购文件</w:t>
            </w:r>
            <w:r>
              <w:rPr>
                <w:rFonts w:hint="eastAsia" w:ascii="仿宋" w:hAnsi="仿宋" w:eastAsia="仿宋" w:cs="仿宋"/>
                <w:bCs/>
                <w:sz w:val="24"/>
                <w:highlight w:val="none"/>
              </w:rPr>
              <w:t>要求</w:t>
            </w:r>
          </w:p>
        </w:tc>
        <w:tc>
          <w:tcPr>
            <w:tcW w:w="1891" w:type="dxa"/>
            <w:vAlign w:val="center"/>
          </w:tcPr>
          <w:p>
            <w:pPr>
              <w:tabs>
                <w:tab w:val="left" w:pos="1337"/>
              </w:tabs>
              <w:spacing w:line="360" w:lineRule="auto"/>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eastAsia="zh-CN"/>
              </w:rPr>
              <w:t>响应文件</w:t>
            </w:r>
          </w:p>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实际情况</w:t>
            </w:r>
          </w:p>
        </w:tc>
        <w:tc>
          <w:tcPr>
            <w:tcW w:w="1475" w:type="dxa"/>
            <w:vAlign w:val="center"/>
          </w:tcPr>
          <w:p>
            <w:pPr>
              <w:tabs>
                <w:tab w:val="left" w:pos="1337"/>
              </w:tabs>
              <w:spacing w:line="360" w:lineRule="auto"/>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eastAsia="zh-CN"/>
              </w:rPr>
              <w:t>采购文件</w:t>
            </w:r>
          </w:p>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条目号</w:t>
            </w:r>
          </w:p>
        </w:tc>
        <w:tc>
          <w:tcPr>
            <w:tcW w:w="1737"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偏差内容</w:t>
            </w:r>
          </w:p>
        </w:tc>
        <w:tc>
          <w:tcPr>
            <w:tcW w:w="1174"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pPr>
        <w:pStyle w:val="15"/>
        <w:spacing w:before="0"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9"/>
        <w:spacing w:line="360" w:lineRule="auto"/>
        <w:ind w:left="0" w:leftChars="0" w:firstLine="0" w:firstLineChars="0"/>
        <w:jc w:val="left"/>
        <w:outlineLvl w:val="1"/>
        <w:rPr>
          <w:rFonts w:hint="eastAsia" w:ascii="仿宋" w:hAnsi="仿宋" w:eastAsia="仿宋" w:cs="仿宋"/>
          <w:highlight w:val="none"/>
        </w:rPr>
      </w:pPr>
      <w:bookmarkStart w:id="132" w:name="_Toc450834595"/>
      <w:r>
        <w:rPr>
          <w:rFonts w:hint="eastAsia" w:ascii="仿宋" w:hAnsi="仿宋" w:eastAsia="仿宋" w:cs="仿宋"/>
          <w:highlight w:val="none"/>
        </w:rPr>
        <w:br w:type="page"/>
      </w:r>
      <w:bookmarkStart w:id="133" w:name="_Toc28286"/>
      <w:r>
        <w:rPr>
          <w:rFonts w:hint="eastAsia" w:ascii="仿宋" w:hAnsi="仿宋" w:eastAsia="仿宋" w:cs="仿宋"/>
          <w:highlight w:val="none"/>
        </w:rPr>
        <w:t>附件六</w:t>
      </w:r>
      <w:bookmarkEnd w:id="132"/>
      <w:bookmarkEnd w:id="133"/>
    </w:p>
    <w:p>
      <w:pPr>
        <w:pStyle w:val="18"/>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经营业绩一览表</w:t>
      </w:r>
    </w:p>
    <w:p>
      <w:pPr>
        <w:pStyle w:val="3"/>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rPr>
        <w:t>项目编号：</w:t>
      </w:r>
    </w:p>
    <w:p>
      <w:pPr>
        <w:pStyle w:val="3"/>
        <w:spacing w:line="360" w:lineRule="auto"/>
        <w:ind w:left="0" w:leftChars="0" w:firstLine="0" w:firstLineChars="0"/>
        <w:jc w:val="left"/>
        <w:rPr>
          <w:rFonts w:hint="eastAsia" w:ascii="仿宋" w:hAnsi="仿宋" w:eastAsia="仿宋" w:cs="仿宋"/>
          <w:bCs/>
          <w:highlight w:val="none"/>
          <w:u w:val="single"/>
        </w:rPr>
      </w:pPr>
      <w:r>
        <w:rPr>
          <w:rFonts w:hint="eastAsia" w:ascii="仿宋" w:hAnsi="仿宋" w:eastAsia="仿宋" w:cs="仿宋"/>
          <w:bCs/>
          <w:highlight w:val="none"/>
          <w:lang w:eastAsia="zh-CN"/>
        </w:rPr>
        <w:t>供应商</w:t>
      </w:r>
      <w:r>
        <w:rPr>
          <w:rFonts w:hint="eastAsia" w:ascii="仿宋" w:hAnsi="仿宋" w:eastAsia="仿宋" w:cs="仿宋"/>
          <w:bCs/>
          <w:highlight w:val="none"/>
        </w:rPr>
        <w:t>名称（公章）：</w:t>
      </w:r>
      <w:r>
        <w:rPr>
          <w:rFonts w:hint="eastAsia" w:ascii="仿宋" w:hAnsi="仿宋" w:eastAsia="仿宋" w:cs="仿宋"/>
          <w:bCs/>
          <w:highlight w:val="none"/>
          <w:u w:val="single"/>
        </w:rPr>
        <w:t xml:space="preserve">                    </w:t>
      </w:r>
    </w:p>
    <w:p>
      <w:pPr>
        <w:pStyle w:val="3"/>
        <w:spacing w:line="360" w:lineRule="auto"/>
        <w:ind w:left="0" w:leftChars="0" w:firstLine="0" w:firstLineChars="0"/>
        <w:jc w:val="left"/>
        <w:rPr>
          <w:rFonts w:hint="eastAsia" w:ascii="仿宋" w:hAnsi="仿宋" w:eastAsia="仿宋" w:cs="仿宋"/>
          <w:bCs/>
          <w:highlight w:val="none"/>
          <w:u w:val="single"/>
        </w:rPr>
      </w:pPr>
      <w:r>
        <w:rPr>
          <w:rFonts w:hint="eastAsia" w:ascii="仿宋" w:hAnsi="仿宋" w:eastAsia="仿宋" w:cs="仿宋"/>
          <w:bCs/>
          <w:highlight w:val="none"/>
        </w:rPr>
        <w:t>法定代表人或授权代理人签字：</w:t>
      </w:r>
      <w:r>
        <w:rPr>
          <w:rFonts w:hint="eastAsia" w:ascii="仿宋" w:hAnsi="仿宋" w:eastAsia="仿宋" w:cs="仿宋"/>
          <w:bCs/>
          <w:highlight w:val="none"/>
          <w:u w:val="single"/>
        </w:rPr>
        <w:t xml:space="preserve">           </w:t>
      </w:r>
    </w:p>
    <w:tbl>
      <w:tblPr>
        <w:tblStyle w:val="43"/>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1984"/>
        <w:gridCol w:w="1984"/>
        <w:gridCol w:w="1694"/>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452" w:type="dxa"/>
            <w:vAlign w:val="center"/>
          </w:tcPr>
          <w:p>
            <w:pPr>
              <w:pStyle w:val="3"/>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服务内容</w:t>
            </w:r>
          </w:p>
        </w:tc>
        <w:tc>
          <w:tcPr>
            <w:tcW w:w="1984" w:type="dxa"/>
            <w:vAlign w:val="center"/>
          </w:tcPr>
          <w:p>
            <w:pPr>
              <w:pStyle w:val="3"/>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服务时间</w:t>
            </w:r>
          </w:p>
        </w:tc>
        <w:tc>
          <w:tcPr>
            <w:tcW w:w="1984" w:type="dxa"/>
            <w:vAlign w:val="center"/>
          </w:tcPr>
          <w:p>
            <w:pPr>
              <w:pStyle w:val="3"/>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服务单位</w:t>
            </w:r>
          </w:p>
        </w:tc>
        <w:tc>
          <w:tcPr>
            <w:tcW w:w="1694" w:type="dxa"/>
            <w:vAlign w:val="center"/>
          </w:tcPr>
          <w:p>
            <w:pPr>
              <w:pStyle w:val="3"/>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联系人</w:t>
            </w:r>
          </w:p>
        </w:tc>
        <w:tc>
          <w:tcPr>
            <w:tcW w:w="2173" w:type="dxa"/>
            <w:vAlign w:val="center"/>
          </w:tcPr>
          <w:p>
            <w:pPr>
              <w:pStyle w:val="3"/>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说明：本表后附供应商业绩合同，可根据项目需要同格式扩展。</w:t>
      </w:r>
    </w:p>
    <w:p>
      <w:pPr>
        <w:pStyle w:val="3"/>
        <w:spacing w:line="360" w:lineRule="auto"/>
        <w:ind w:left="0" w:leftChars="0" w:firstLine="0" w:firstLineChars="0"/>
        <w:jc w:val="right"/>
        <w:rPr>
          <w:rFonts w:hint="eastAsia" w:ascii="仿宋" w:hAnsi="仿宋" w:eastAsia="仿宋" w:cs="仿宋"/>
          <w:highlight w:val="none"/>
        </w:rPr>
      </w:pPr>
      <w:r>
        <w:rPr>
          <w:rFonts w:hint="eastAsia" w:ascii="仿宋" w:hAnsi="仿宋" w:eastAsia="仿宋" w:cs="仿宋"/>
          <w:highlight w:val="none"/>
        </w:rPr>
        <w:t>年  月  日</w:t>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highlight w:val="none"/>
        </w:rPr>
      </w:pPr>
      <w:bookmarkStart w:id="134" w:name="_Toc450834596"/>
      <w:r>
        <w:rPr>
          <w:rFonts w:hint="eastAsia" w:ascii="仿宋" w:hAnsi="仿宋" w:eastAsia="仿宋" w:cs="仿宋"/>
          <w:highlight w:val="none"/>
        </w:rPr>
        <w:br w:type="page"/>
      </w:r>
      <w:bookmarkEnd w:id="134"/>
    </w:p>
    <w:p>
      <w:pPr>
        <w:pStyle w:val="19"/>
        <w:spacing w:line="360" w:lineRule="auto"/>
        <w:ind w:left="0" w:leftChars="0" w:firstLine="0" w:firstLineChars="0"/>
        <w:jc w:val="left"/>
        <w:outlineLvl w:val="1"/>
        <w:rPr>
          <w:rFonts w:hint="eastAsia" w:ascii="仿宋" w:hAnsi="仿宋" w:eastAsia="仿宋" w:cs="仿宋"/>
          <w:highlight w:val="none"/>
          <w:lang w:val="en-US" w:eastAsia="zh-CN"/>
        </w:rPr>
      </w:pPr>
      <w:bookmarkStart w:id="135" w:name="_Toc450834600"/>
      <w:bookmarkStart w:id="136" w:name="_Toc26488"/>
      <w:r>
        <w:rPr>
          <w:rFonts w:hint="eastAsia" w:ascii="仿宋" w:hAnsi="仿宋" w:eastAsia="仿宋" w:cs="仿宋"/>
          <w:highlight w:val="none"/>
        </w:rPr>
        <w:t>附件</w:t>
      </w:r>
      <w:bookmarkEnd w:id="135"/>
      <w:r>
        <w:rPr>
          <w:rFonts w:hint="eastAsia" w:ascii="仿宋" w:hAnsi="仿宋" w:eastAsia="仿宋" w:cs="仿宋"/>
          <w:highlight w:val="none"/>
          <w:lang w:val="en-US" w:eastAsia="zh-CN"/>
        </w:rPr>
        <w:t>七</w:t>
      </w:r>
      <w:bookmarkEnd w:id="136"/>
    </w:p>
    <w:p>
      <w:pPr>
        <w:autoSpaceDE w:val="0"/>
        <w:autoSpaceDN w:val="0"/>
        <w:adjustRightInd w:val="0"/>
        <w:spacing w:line="360" w:lineRule="auto"/>
        <w:jc w:val="center"/>
        <w:rPr>
          <w:rFonts w:hint="eastAsia" w:ascii="仿宋" w:hAnsi="仿宋" w:eastAsia="仿宋" w:cs="仿宋"/>
          <w:b/>
          <w:bCs/>
          <w:kern w:val="0"/>
          <w:sz w:val="30"/>
          <w:szCs w:val="30"/>
          <w:highlight w:val="none"/>
          <w:lang w:val="zh-CN"/>
        </w:rPr>
      </w:pPr>
      <w:r>
        <w:rPr>
          <w:rFonts w:hint="eastAsia" w:ascii="仿宋" w:hAnsi="仿宋" w:eastAsia="仿宋" w:cs="仿宋"/>
          <w:b/>
          <w:bCs/>
          <w:kern w:val="0"/>
          <w:sz w:val="30"/>
          <w:szCs w:val="30"/>
          <w:highlight w:val="none"/>
          <w:lang w:val="zh-CN"/>
        </w:rPr>
        <w:t>无违规违法声明</w:t>
      </w:r>
    </w:p>
    <w:p>
      <w:pPr>
        <w:autoSpaceDE w:val="0"/>
        <w:autoSpaceDN w:val="0"/>
        <w:adjustRightInd w:val="0"/>
        <w:spacing w:line="360" w:lineRule="auto"/>
        <w:rPr>
          <w:rFonts w:hint="eastAsia" w:ascii="仿宋" w:hAnsi="仿宋" w:eastAsia="仿宋" w:cs="仿宋"/>
          <w:kern w:val="0"/>
          <w:sz w:val="24"/>
          <w:highlight w:val="none"/>
          <w:lang w:val="zh-CN"/>
        </w:rPr>
      </w:pPr>
    </w:p>
    <w:p>
      <w:pPr>
        <w:autoSpaceDE w:val="0"/>
        <w:autoSpaceDN w:val="0"/>
        <w:adjustRightInd w:val="0"/>
        <w:spacing w:line="360" w:lineRule="auto"/>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山东华仁永旺招标有限公司：</w:t>
      </w:r>
    </w:p>
    <w:p>
      <w:pPr>
        <w:autoSpaceDE w:val="0"/>
        <w:autoSpaceDN w:val="0"/>
        <w:adjustRightInd w:val="0"/>
        <w:spacing w:line="360" w:lineRule="auto"/>
        <w:rPr>
          <w:rFonts w:hint="eastAsia" w:ascii="仿宋" w:hAnsi="仿宋" w:eastAsia="仿宋" w:cs="仿宋"/>
          <w:kern w:val="0"/>
          <w:sz w:val="24"/>
          <w:highlight w:val="none"/>
          <w:lang w:val="zh-CN"/>
        </w:rPr>
      </w:pPr>
    </w:p>
    <w:p>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r>
        <w:rPr>
          <w:rFonts w:hint="eastAsia" w:ascii="仿宋" w:hAnsi="仿宋" w:eastAsia="仿宋" w:cs="仿宋"/>
          <w:kern w:val="0"/>
          <w:sz w:val="24"/>
          <w:highlight w:val="none"/>
          <w:lang w:val="zh-CN"/>
        </w:rPr>
        <w:t>我公司承诺</w:t>
      </w:r>
      <w:r>
        <w:rPr>
          <w:rFonts w:hint="eastAsia" w:ascii="仿宋" w:hAnsi="仿宋" w:eastAsia="仿宋" w:cs="仿宋"/>
          <w:sz w:val="24"/>
          <w:highlight w:val="none"/>
          <w:lang w:val="zh-CN"/>
        </w:rPr>
        <w:t>参加政府采购活动3年内在经营活动中没有重大违法记录。</w:t>
      </w:r>
    </w:p>
    <w:p>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特此声明。</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如果以上声明不真实，我方承担虚假响应的责任，成交无效，并按法律、法规的规定接受处罚。</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供应商全称（盖单位公章）：</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法人或授权代表签字：</w:t>
      </w:r>
    </w:p>
    <w:p>
      <w:pPr>
        <w:autoSpaceDE w:val="0"/>
        <w:autoSpaceDN w:val="0"/>
        <w:adjustRightInd w:val="0"/>
        <w:spacing w:line="360" w:lineRule="auto"/>
        <w:jc w:val="right"/>
        <w:rPr>
          <w:rFonts w:hint="eastAsia" w:ascii="仿宋" w:hAnsi="仿宋" w:eastAsia="仿宋" w:cs="仿宋"/>
          <w:highlight w:val="none"/>
        </w:rPr>
      </w:pPr>
      <w:r>
        <w:rPr>
          <w:rFonts w:hint="eastAsia" w:ascii="仿宋" w:hAnsi="仿宋" w:eastAsia="仿宋" w:cs="仿宋"/>
          <w:kern w:val="0"/>
          <w:sz w:val="24"/>
          <w:highlight w:val="none"/>
          <w:lang w:val="zh-CN"/>
        </w:rPr>
        <w:t>年  月  日</w:t>
      </w:r>
    </w:p>
    <w:p>
      <w:pPr>
        <w:pStyle w:val="19"/>
        <w:keepNext w:val="0"/>
        <w:keepLines w:val="0"/>
        <w:pageBreakBefore w:val="0"/>
        <w:widowControl w:val="0"/>
        <w:kinsoku/>
        <w:wordWrap/>
        <w:overflowPunct/>
        <w:topLinePunct w:val="0"/>
        <w:autoSpaceDE/>
        <w:autoSpaceDN/>
        <w:bidi w:val="0"/>
        <w:adjustRightInd/>
        <w:snapToGrid/>
        <w:spacing w:line="360" w:lineRule="auto"/>
        <w:ind w:left="567" w:leftChars="270" w:firstLine="2" w:firstLineChars="1"/>
        <w:textAlignment w:val="auto"/>
        <w:outlineLvl w:val="9"/>
        <w:rPr>
          <w:rFonts w:hint="eastAsia" w:ascii="仿宋" w:hAnsi="仿宋" w:eastAsia="仿宋" w:cs="仿宋"/>
          <w:highlight w:val="none"/>
        </w:rPr>
      </w:pPr>
    </w:p>
    <w:p>
      <w:pPr>
        <w:pStyle w:val="19"/>
        <w:spacing w:line="360" w:lineRule="auto"/>
        <w:ind w:left="0" w:leftChars="0" w:firstLine="0" w:firstLineChars="0"/>
        <w:jc w:val="left"/>
        <w:outlineLvl w:val="1"/>
        <w:rPr>
          <w:rFonts w:hint="eastAsia" w:ascii="仿宋" w:hAnsi="仿宋" w:eastAsia="仿宋" w:cs="仿宋"/>
          <w:highlight w:val="none"/>
          <w:lang w:val="en-US" w:eastAsia="zh-CN"/>
        </w:rPr>
      </w:pPr>
      <w:r>
        <w:rPr>
          <w:rFonts w:hint="eastAsia" w:ascii="仿宋" w:hAnsi="仿宋" w:eastAsia="仿宋" w:cs="仿宋"/>
          <w:highlight w:val="none"/>
        </w:rPr>
        <w:br w:type="page"/>
      </w:r>
      <w:bookmarkStart w:id="137" w:name="_Toc12695"/>
      <w:r>
        <w:rPr>
          <w:rFonts w:hint="eastAsia" w:ascii="仿宋" w:hAnsi="仿宋" w:eastAsia="仿宋" w:cs="仿宋"/>
          <w:highlight w:val="none"/>
        </w:rPr>
        <w:t>附件</w:t>
      </w:r>
      <w:r>
        <w:rPr>
          <w:rFonts w:hint="eastAsia" w:ascii="仿宋" w:hAnsi="仿宋" w:eastAsia="仿宋" w:cs="仿宋"/>
          <w:highlight w:val="none"/>
          <w:lang w:val="en-US" w:eastAsia="zh-CN"/>
        </w:rPr>
        <w:t>八</w:t>
      </w:r>
      <w:bookmarkEnd w:id="137"/>
    </w:p>
    <w:p>
      <w:pPr>
        <w:autoSpaceDE w:val="0"/>
        <w:autoSpaceDN w:val="0"/>
        <w:adjustRightInd w:val="0"/>
        <w:spacing w:line="360" w:lineRule="auto"/>
        <w:jc w:val="center"/>
        <w:rPr>
          <w:rFonts w:hint="eastAsia" w:ascii="仿宋" w:hAnsi="仿宋" w:eastAsia="仿宋" w:cs="仿宋"/>
          <w:b/>
          <w:bCs/>
          <w:kern w:val="0"/>
          <w:sz w:val="30"/>
          <w:szCs w:val="30"/>
          <w:highlight w:val="none"/>
          <w:lang w:val="zh-CN"/>
        </w:rPr>
      </w:pPr>
      <w:r>
        <w:rPr>
          <w:rFonts w:hint="eastAsia" w:ascii="仿宋" w:hAnsi="仿宋" w:eastAsia="仿宋" w:cs="仿宋"/>
          <w:b/>
          <w:bCs/>
          <w:kern w:val="0"/>
          <w:sz w:val="30"/>
          <w:szCs w:val="30"/>
          <w:highlight w:val="none"/>
          <w:lang w:val="zh-CN"/>
        </w:rPr>
        <w:t>无不良信用记录承诺函</w:t>
      </w:r>
    </w:p>
    <w:p>
      <w:pPr>
        <w:autoSpaceDE w:val="0"/>
        <w:autoSpaceDN w:val="0"/>
        <w:adjustRightInd w:val="0"/>
        <w:spacing w:line="360" w:lineRule="auto"/>
        <w:jc w:val="center"/>
        <w:rPr>
          <w:rFonts w:hint="eastAsia" w:ascii="仿宋" w:hAnsi="仿宋" w:eastAsia="仿宋" w:cs="仿宋"/>
          <w:bCs/>
          <w:kern w:val="0"/>
          <w:sz w:val="32"/>
          <w:szCs w:val="32"/>
          <w:highlight w:val="none"/>
          <w:lang w:val="zh-CN"/>
        </w:rPr>
      </w:pPr>
    </w:p>
    <w:p>
      <w:pPr>
        <w:pStyle w:val="22"/>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山东华仁永旺招标有限公司</w:t>
      </w:r>
      <w:r>
        <w:rPr>
          <w:rFonts w:hint="eastAsia" w:ascii="仿宋" w:hAnsi="仿宋" w:eastAsia="仿宋" w:cs="仿宋"/>
          <w:sz w:val="24"/>
          <w:szCs w:val="24"/>
          <w:highlight w:val="none"/>
        </w:rPr>
        <w:t>：</w:t>
      </w:r>
    </w:p>
    <w:p>
      <w:pPr>
        <w:pStyle w:val="22"/>
        <w:spacing w:line="360" w:lineRule="auto"/>
        <w:jc w:val="left"/>
        <w:rPr>
          <w:rFonts w:hint="eastAsia" w:ascii="仿宋" w:hAnsi="仿宋" w:eastAsia="仿宋" w:cs="仿宋"/>
          <w:sz w:val="24"/>
          <w:szCs w:val="24"/>
          <w:highlight w:val="none"/>
        </w:rPr>
      </w:pP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本单位郑重承诺，我单位无以下不良信用记录情形：</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1、被人民法院列入失信被执行人；</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2、被税务部门列入重大税收违法案件当事人名单；</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3、被政府采购监管部门列入政府采购严重违法失信行为记录名单；</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4、不符合政府采购法第二十二条规定的条件。</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我单位已就上述不良信用行为按照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 xml:space="preserve">规定进行了查询。我单位承诺：合同签订前，若我单位具有不良信用记录情形，贵方可取消我单位成交资格或者不授予合同，所有责任由我单位自行承担。同时，我单位愿意无条件接受监管部门的调查处理。 </w:t>
      </w:r>
    </w:p>
    <w:p>
      <w:pPr>
        <w:spacing w:line="360" w:lineRule="auto"/>
        <w:rPr>
          <w:rFonts w:hint="eastAsia" w:ascii="仿宋" w:hAnsi="仿宋" w:eastAsia="仿宋" w:cs="仿宋"/>
          <w:sz w:val="28"/>
          <w:szCs w:val="28"/>
          <w:highlight w:val="none"/>
        </w:rPr>
      </w:pPr>
    </w:p>
    <w:p>
      <w:pPr>
        <w:spacing w:line="360" w:lineRule="auto"/>
        <w:rPr>
          <w:rFonts w:hint="eastAsia" w:ascii="仿宋" w:hAnsi="仿宋" w:eastAsia="仿宋" w:cs="仿宋"/>
          <w:sz w:val="28"/>
          <w:szCs w:val="28"/>
          <w:highlight w:val="none"/>
        </w:rPr>
      </w:pP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供应商全称（盖单位公章）：</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法人或授权代表签字：</w:t>
      </w:r>
    </w:p>
    <w:p>
      <w:pPr>
        <w:autoSpaceDE w:val="0"/>
        <w:autoSpaceDN w:val="0"/>
        <w:adjustRightInd w:val="0"/>
        <w:spacing w:line="360" w:lineRule="auto"/>
        <w:ind w:right="480"/>
        <w:jc w:val="left"/>
        <w:rPr>
          <w:rFonts w:hint="eastAsia" w:ascii="仿宋" w:hAnsi="仿宋" w:eastAsia="仿宋" w:cs="仿宋"/>
          <w:kern w:val="0"/>
          <w:sz w:val="24"/>
          <w:highlight w:val="none"/>
          <w:lang w:val="zh-CN"/>
        </w:rPr>
      </w:pPr>
    </w:p>
    <w:p>
      <w:pPr>
        <w:autoSpaceDE w:val="0"/>
        <w:autoSpaceDN w:val="0"/>
        <w:adjustRightInd w:val="0"/>
        <w:spacing w:line="360" w:lineRule="auto"/>
        <w:jc w:val="righ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年  月  日</w:t>
      </w:r>
    </w:p>
    <w:p>
      <w:pPr>
        <w:pStyle w:val="19"/>
        <w:spacing w:line="360" w:lineRule="auto"/>
        <w:ind w:left="0" w:leftChars="0" w:firstLine="0" w:firstLineChars="0"/>
        <w:jc w:val="left"/>
        <w:outlineLvl w:val="1"/>
        <w:rPr>
          <w:rFonts w:hint="eastAsia" w:ascii="仿宋" w:hAnsi="仿宋" w:eastAsia="仿宋" w:cs="仿宋"/>
          <w:highlight w:val="none"/>
          <w:lang w:val="en-US" w:eastAsia="zh-CN"/>
        </w:rPr>
      </w:pPr>
      <w:r>
        <w:rPr>
          <w:rFonts w:hint="eastAsia" w:ascii="仿宋" w:hAnsi="仿宋" w:eastAsia="仿宋" w:cs="仿宋"/>
          <w:highlight w:val="none"/>
        </w:rPr>
        <w:br w:type="page"/>
      </w:r>
      <w:bookmarkStart w:id="138" w:name="_Toc22277"/>
      <w:r>
        <w:rPr>
          <w:rFonts w:hint="eastAsia" w:ascii="仿宋" w:hAnsi="仿宋" w:eastAsia="仿宋" w:cs="仿宋"/>
          <w:highlight w:val="none"/>
        </w:rPr>
        <w:t>附件</w:t>
      </w:r>
      <w:r>
        <w:rPr>
          <w:rFonts w:hint="eastAsia" w:ascii="仿宋" w:hAnsi="仿宋" w:eastAsia="仿宋" w:cs="仿宋"/>
          <w:highlight w:val="none"/>
          <w:lang w:val="en-US" w:eastAsia="zh-CN"/>
        </w:rPr>
        <w:t>九</w:t>
      </w:r>
      <w:bookmarkEnd w:id="138"/>
    </w:p>
    <w:p>
      <w:pPr>
        <w:pStyle w:val="3"/>
        <w:spacing w:line="360" w:lineRule="auto"/>
        <w:ind w:left="0" w:leftChars="0" w:firstLine="0" w:firstLineChars="0"/>
        <w:jc w:val="center"/>
        <w:rPr>
          <w:rFonts w:hint="eastAsia" w:ascii="仿宋" w:hAnsi="仿宋" w:eastAsia="仿宋" w:cs="仿宋"/>
          <w:b/>
          <w:sz w:val="30"/>
          <w:szCs w:val="30"/>
          <w:highlight w:val="none"/>
        </w:rPr>
      </w:pPr>
      <w:bookmarkStart w:id="139" w:name="_Toc17727137"/>
      <w:bookmarkStart w:id="140" w:name="_Toc532223178"/>
      <w:r>
        <w:rPr>
          <w:rFonts w:hint="eastAsia" w:ascii="仿宋" w:hAnsi="仿宋" w:eastAsia="仿宋" w:cs="仿宋"/>
          <w:b/>
          <w:sz w:val="30"/>
          <w:szCs w:val="30"/>
          <w:highlight w:val="none"/>
        </w:rPr>
        <w:t>履行合同的设备技术能力证明表</w:t>
      </w:r>
      <w:bookmarkEnd w:id="139"/>
      <w:bookmarkEnd w:id="140"/>
    </w:p>
    <w:tbl>
      <w:tblPr>
        <w:tblStyle w:val="43"/>
        <w:tblW w:w="9077" w:type="dxa"/>
        <w:jc w:val="center"/>
        <w:tblLayout w:type="fixed"/>
        <w:tblCellMar>
          <w:top w:w="0" w:type="dxa"/>
          <w:left w:w="108" w:type="dxa"/>
          <w:bottom w:w="0" w:type="dxa"/>
          <w:right w:w="108" w:type="dxa"/>
        </w:tblCellMar>
      </w:tblPr>
      <w:tblGrid>
        <w:gridCol w:w="717"/>
        <w:gridCol w:w="988"/>
        <w:gridCol w:w="1320"/>
        <w:gridCol w:w="15"/>
        <w:gridCol w:w="1770"/>
        <w:gridCol w:w="1240"/>
        <w:gridCol w:w="1670"/>
        <w:gridCol w:w="132"/>
        <w:gridCol w:w="1225"/>
      </w:tblGrid>
      <w:tr>
        <w:tblPrEx>
          <w:tblCellMar>
            <w:top w:w="0" w:type="dxa"/>
            <w:left w:w="108" w:type="dxa"/>
            <w:bottom w:w="0" w:type="dxa"/>
            <w:right w:w="108" w:type="dxa"/>
          </w:tblCellMar>
        </w:tblPrEx>
        <w:trPr>
          <w:trHeight w:val="683" w:hRule="atLeast"/>
          <w:jc w:val="center"/>
        </w:trPr>
        <w:tc>
          <w:tcPr>
            <w:tcW w:w="170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ind w:right="465"/>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单位名称</w:t>
            </w:r>
          </w:p>
        </w:tc>
        <w:tc>
          <w:tcPr>
            <w:tcW w:w="7372" w:type="dxa"/>
            <w:gridSpan w:val="7"/>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ind w:right="420"/>
              <w:jc w:val="righ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（盖公章）</w:t>
            </w:r>
          </w:p>
        </w:tc>
      </w:tr>
      <w:tr>
        <w:tblPrEx>
          <w:tblCellMar>
            <w:top w:w="0" w:type="dxa"/>
            <w:left w:w="108" w:type="dxa"/>
            <w:bottom w:w="0" w:type="dxa"/>
            <w:right w:w="108" w:type="dxa"/>
          </w:tblCellMar>
        </w:tblPrEx>
        <w:trPr>
          <w:trHeight w:val="703" w:hRule="atLeast"/>
          <w:jc w:val="center"/>
        </w:trPr>
        <w:tc>
          <w:tcPr>
            <w:tcW w:w="170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技术人员数量</w:t>
            </w:r>
          </w:p>
        </w:tc>
        <w:tc>
          <w:tcPr>
            <w:tcW w:w="132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178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管理人员数量</w:t>
            </w:r>
          </w:p>
        </w:tc>
        <w:tc>
          <w:tcPr>
            <w:tcW w:w="1240" w:type="dxa"/>
            <w:tcBorders>
              <w:top w:val="single" w:color="auto" w:sz="6" w:space="0"/>
              <w:left w:val="single" w:color="auto" w:sz="6" w:space="0"/>
              <w:bottom w:val="single" w:color="auto" w:sz="6" w:space="0"/>
              <w:right w:val="single" w:color="auto" w:sz="6" w:space="0"/>
            </w:tcBorders>
          </w:tcPr>
          <w:p>
            <w:pPr>
              <w:autoSpaceDE w:val="0"/>
              <w:autoSpaceDN w:val="0"/>
              <w:adjustRightInd w:val="0"/>
              <w:spacing w:line="360" w:lineRule="auto"/>
              <w:rPr>
                <w:rFonts w:hint="eastAsia" w:ascii="仿宋" w:hAnsi="仿宋" w:eastAsia="仿宋" w:cs="仿宋"/>
                <w:kern w:val="0"/>
                <w:sz w:val="24"/>
                <w:highlight w:val="none"/>
                <w:lang w:val="zh-CN"/>
              </w:rPr>
            </w:pPr>
          </w:p>
        </w:tc>
        <w:tc>
          <w:tcPr>
            <w:tcW w:w="167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生产人员数量</w:t>
            </w:r>
          </w:p>
        </w:tc>
        <w:tc>
          <w:tcPr>
            <w:tcW w:w="1357"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r>
      <w:tr>
        <w:tblPrEx>
          <w:tblCellMar>
            <w:top w:w="0" w:type="dxa"/>
            <w:left w:w="108" w:type="dxa"/>
            <w:bottom w:w="0" w:type="dxa"/>
            <w:right w:w="108" w:type="dxa"/>
          </w:tblCellMar>
        </w:tblPrEx>
        <w:trPr>
          <w:trHeight w:val="703" w:hRule="atLeast"/>
          <w:jc w:val="center"/>
        </w:trPr>
        <w:tc>
          <w:tcPr>
            <w:tcW w:w="9077" w:type="dxa"/>
            <w:gridSpan w:val="9"/>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生产设备情况</w:t>
            </w:r>
          </w:p>
        </w:tc>
      </w:tr>
      <w:tr>
        <w:tblPrEx>
          <w:tblCellMar>
            <w:top w:w="0" w:type="dxa"/>
            <w:left w:w="108" w:type="dxa"/>
            <w:bottom w:w="0" w:type="dxa"/>
            <w:right w:w="108" w:type="dxa"/>
          </w:tblCellMar>
        </w:tblPrEx>
        <w:trPr>
          <w:trHeight w:val="68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序号</w:t>
            </w: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设备名称</w:t>
            </w: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设备规格</w:t>
            </w: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设备数量</w:t>
            </w: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68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r>
      <w:tr>
        <w:tblPrEx>
          <w:tblCellMar>
            <w:top w:w="0" w:type="dxa"/>
            <w:left w:w="108" w:type="dxa"/>
            <w:bottom w:w="0" w:type="dxa"/>
            <w:right w:w="108" w:type="dxa"/>
          </w:tblCellMar>
        </w:tblPrEx>
        <w:trPr>
          <w:trHeight w:val="703" w:hRule="atLeast"/>
          <w:jc w:val="center"/>
        </w:trPr>
        <w:tc>
          <w:tcPr>
            <w:tcW w:w="9077" w:type="dxa"/>
            <w:gridSpan w:val="9"/>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检验设备情况</w:t>
            </w: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序号</w:t>
            </w: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设备名称</w:t>
            </w: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设备规格</w:t>
            </w: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设备数量</w:t>
            </w:r>
          </w:p>
        </w:tc>
      </w:tr>
      <w:tr>
        <w:tblPrEx>
          <w:tblCellMar>
            <w:top w:w="0" w:type="dxa"/>
            <w:left w:w="108" w:type="dxa"/>
            <w:bottom w:w="0" w:type="dxa"/>
            <w:right w:w="108" w:type="dxa"/>
          </w:tblCellMar>
        </w:tblPrEx>
        <w:trPr>
          <w:trHeight w:val="68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683" w:hRule="atLeast"/>
          <w:jc w:val="center"/>
        </w:trPr>
        <w:tc>
          <w:tcPr>
            <w:tcW w:w="9077" w:type="dxa"/>
            <w:gridSpan w:val="9"/>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其他设备情况</w:t>
            </w: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备注</w:t>
            </w:r>
          </w:p>
        </w:tc>
        <w:tc>
          <w:tcPr>
            <w:tcW w:w="8360" w:type="dxa"/>
            <w:gridSpan w:val="8"/>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1、本表由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填写，不填写本表报价无效；</w:t>
      </w:r>
    </w:p>
    <w:p>
      <w:pPr>
        <w:spacing w:line="360" w:lineRule="auto"/>
        <w:rPr>
          <w:rFonts w:hint="eastAsia" w:ascii="仿宋" w:hAnsi="仿宋" w:eastAsia="仿宋" w:cs="仿宋"/>
          <w:b/>
          <w:sz w:val="24"/>
          <w:highlight w:val="none"/>
        </w:rPr>
      </w:pPr>
      <w:r>
        <w:rPr>
          <w:rFonts w:hint="eastAsia" w:ascii="仿宋" w:hAnsi="仿宋" w:eastAsia="仿宋" w:cs="仿宋"/>
          <w:sz w:val="24"/>
          <w:highlight w:val="none"/>
        </w:rPr>
        <w:t>2、本表为</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具有履行合同所必需的设备和专业技术能力说明，对代理商根据实际情况无需设备的可只填写人员情况，并在备注中说明；</w:t>
      </w:r>
    </w:p>
    <w:p>
      <w:pPr>
        <w:pStyle w:val="3"/>
        <w:spacing w:line="360" w:lineRule="auto"/>
        <w:ind w:left="0" w:leftChars="0" w:firstLine="0" w:firstLineChars="0"/>
        <w:jc w:val="left"/>
        <w:rPr>
          <w:rFonts w:hint="eastAsia" w:ascii="仿宋" w:hAnsi="仿宋" w:eastAsia="仿宋" w:cs="仿宋"/>
          <w:b/>
          <w:sz w:val="30"/>
          <w:szCs w:val="30"/>
          <w:highlight w:val="none"/>
          <w:lang w:val="zh-CN"/>
        </w:rPr>
      </w:pPr>
      <w:r>
        <w:rPr>
          <w:rFonts w:hint="eastAsia" w:ascii="仿宋" w:hAnsi="仿宋" w:eastAsia="仿宋" w:cs="仿宋"/>
          <w:b/>
          <w:sz w:val="30"/>
          <w:szCs w:val="30"/>
          <w:highlight w:val="none"/>
          <w:lang w:val="zh-CN"/>
        </w:rPr>
        <w:br w:type="page"/>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rPr>
      </w:pPr>
      <w:bookmarkStart w:id="141" w:name="_Toc12936"/>
      <w:r>
        <w:rPr>
          <w:rFonts w:hint="eastAsia" w:ascii="仿宋" w:hAnsi="仿宋" w:eastAsia="仿宋" w:cs="仿宋"/>
          <w:highlight w:val="none"/>
        </w:rPr>
        <w:t>附件十</w:t>
      </w:r>
      <w:bookmarkEnd w:id="141"/>
    </w:p>
    <w:p>
      <w:pPr>
        <w:spacing w:line="360" w:lineRule="auto"/>
        <w:rPr>
          <w:rFonts w:hint="eastAsia" w:ascii="仿宋" w:hAnsi="仿宋" w:eastAsia="仿宋" w:cs="仿宋"/>
          <w:szCs w:val="21"/>
          <w:highlight w:val="none"/>
        </w:rPr>
      </w:pPr>
    </w:p>
    <w:p>
      <w:pPr>
        <w:spacing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监狱企业、小型和微型企业产品报价说明表</w:t>
      </w:r>
      <w:bookmarkStart w:id="142" w:name="OLE_LINK12"/>
      <w:r>
        <w:rPr>
          <w:rFonts w:hint="eastAsia" w:ascii="仿宋" w:hAnsi="仿宋" w:eastAsia="仿宋" w:cs="仿宋"/>
          <w:b/>
          <w:sz w:val="30"/>
          <w:szCs w:val="30"/>
          <w:highlight w:val="none"/>
        </w:rPr>
        <w:t>（如果是，请填写）</w:t>
      </w:r>
      <w:bookmarkEnd w:id="142"/>
    </w:p>
    <w:tbl>
      <w:tblPr>
        <w:tblStyle w:val="43"/>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1292"/>
        <w:gridCol w:w="1194"/>
        <w:gridCol w:w="2505"/>
        <w:gridCol w:w="672"/>
        <w:gridCol w:w="824"/>
        <w:gridCol w:w="1132"/>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1"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129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货物及服务</w:t>
            </w:r>
          </w:p>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名称</w:t>
            </w:r>
          </w:p>
        </w:tc>
        <w:tc>
          <w:tcPr>
            <w:tcW w:w="1194"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型号/规格</w:t>
            </w:r>
          </w:p>
        </w:tc>
        <w:tc>
          <w:tcPr>
            <w:tcW w:w="2505"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制造厂名称</w:t>
            </w:r>
          </w:p>
        </w:tc>
        <w:tc>
          <w:tcPr>
            <w:tcW w:w="67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824"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单价</w:t>
            </w:r>
          </w:p>
        </w:tc>
        <w:tc>
          <w:tcPr>
            <w:tcW w:w="11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监狱企业</w:t>
            </w:r>
          </w:p>
        </w:tc>
        <w:tc>
          <w:tcPr>
            <w:tcW w:w="117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Cs w:val="21"/>
                <w:highlight w:val="none"/>
              </w:rPr>
            </w:pPr>
            <w:r>
              <w:rPr>
                <w:rFonts w:hint="eastAsia" w:ascii="仿宋" w:hAnsi="仿宋" w:eastAsia="仿宋" w:cs="仿宋"/>
                <w:szCs w:val="21"/>
                <w:highlight w:val="none"/>
              </w:rPr>
              <w:t>小型、微型企业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12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11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25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8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合计</w:t>
            </w:r>
          </w:p>
        </w:tc>
        <w:tc>
          <w:tcPr>
            <w:tcW w:w="11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129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9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2505"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67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82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129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9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2505"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67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82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p>
        </w:tc>
        <w:tc>
          <w:tcPr>
            <w:tcW w:w="129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9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2505"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67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82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6978"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监狱、小型、微型企业产品报价总计</w:t>
            </w:r>
          </w:p>
        </w:tc>
        <w:tc>
          <w:tcPr>
            <w:tcW w:w="11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p>
        </w:tc>
      </w:tr>
    </w:tbl>
    <w:p>
      <w:pPr>
        <w:rPr>
          <w:rFonts w:hint="eastAsia" w:ascii="仿宋" w:hAnsi="仿宋" w:eastAsia="仿宋" w:cs="仿宋"/>
          <w:highlight w:val="none"/>
        </w:rPr>
      </w:pPr>
      <w:r>
        <w:rPr>
          <w:rFonts w:hint="eastAsia" w:ascii="仿宋" w:hAnsi="仿宋" w:eastAsia="仿宋" w:cs="仿宋"/>
          <w:highlight w:val="none"/>
        </w:rPr>
        <w:t>附注：</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1、填入的产品必须是本企业生产的产品，或代理的其他监狱企业、小型企业、微型企业的产品；</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2、填写本表的小型和微型企业须同时按附件格式提供“中小企业声明函”；填写本表的监狱企业须提供由省级以上监狱管理局、戒毒管理局（含新疆生产建设兵团）出具的属于监狱企业证明文件。代理监狱企业、小型、微型企业的产品，须同时提供产品授权和该企业的监狱企业、小型企业、微型企业证明。</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3、不填报本表，不需提供“中小企业声明函”和证明文件，但评审时不对其产品给予评审价折扣。</w:t>
      </w: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30"/>
          <w:szCs w:val="30"/>
          <w:highlight w:val="none"/>
        </w:rPr>
      </w:pP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r>
        <w:rPr>
          <w:rFonts w:hint="eastAsia" w:ascii="仿宋" w:hAnsi="仿宋" w:eastAsia="仿宋" w:cs="仿宋"/>
          <w:b/>
          <w:sz w:val="30"/>
          <w:szCs w:val="30"/>
          <w:highlight w:val="none"/>
        </w:rPr>
        <w:br w:type="page"/>
      </w:r>
      <w:bookmarkStart w:id="143" w:name="_Toc30474"/>
      <w:r>
        <w:rPr>
          <w:rFonts w:hint="eastAsia" w:ascii="仿宋" w:hAnsi="仿宋" w:eastAsia="仿宋" w:cs="仿宋"/>
          <w:highlight w:val="none"/>
        </w:rPr>
        <w:t>附件十</w:t>
      </w:r>
      <w:r>
        <w:rPr>
          <w:rFonts w:hint="eastAsia" w:ascii="仿宋" w:hAnsi="仿宋" w:eastAsia="仿宋" w:cs="仿宋"/>
          <w:highlight w:val="none"/>
          <w:lang w:val="en-US" w:eastAsia="zh-CN"/>
        </w:rPr>
        <w:t>一</w:t>
      </w:r>
      <w:bookmarkEnd w:id="143"/>
    </w:p>
    <w:p>
      <w:pPr>
        <w:spacing w:line="400" w:lineRule="exact"/>
        <w:rPr>
          <w:rFonts w:hint="eastAsia" w:ascii="仿宋" w:hAnsi="仿宋" w:eastAsia="仿宋" w:cs="仿宋"/>
          <w:b/>
          <w:sz w:val="30"/>
          <w:szCs w:val="30"/>
          <w:highlight w:val="none"/>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sz w:val="30"/>
          <w:szCs w:val="30"/>
          <w:highlight w:val="none"/>
        </w:rPr>
      </w:pPr>
      <w:r>
        <w:rPr>
          <w:rFonts w:hint="eastAsia" w:ascii="仿宋" w:hAnsi="仿宋" w:eastAsia="仿宋" w:cs="仿宋"/>
          <w:b/>
          <w:sz w:val="30"/>
          <w:szCs w:val="30"/>
          <w:highlight w:val="none"/>
        </w:rPr>
        <w:t>中小企业声明函（如果是，请填写）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highlight w:val="none"/>
          <w:lang w:val="zh-CN"/>
        </w:rPr>
      </w:pP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 （标的名称） ，属于（采购文件中明确的所属行业）行业；制造商为（企业名称），从业人员    人，营业收入为    万元，资产总额为    万元</w:t>
      </w:r>
      <w:r>
        <w:rPr>
          <w:rFonts w:hint="eastAsia" w:ascii="仿宋" w:hAnsi="仿宋" w:eastAsia="仿宋" w:cs="仿宋"/>
          <w:kern w:val="2"/>
          <w:sz w:val="24"/>
          <w:szCs w:val="24"/>
          <w:highlight w:val="none"/>
          <w:lang w:val="en-US" w:eastAsia="zh-CN" w:bidi="ar-SA"/>
        </w:rPr>
        <w:footnoteReference w:id="0"/>
      </w:r>
      <w:r>
        <w:rPr>
          <w:rFonts w:hint="eastAsia" w:ascii="仿宋" w:hAnsi="仿宋" w:eastAsia="仿宋" w:cs="仿宋"/>
          <w:kern w:val="2"/>
          <w:sz w:val="24"/>
          <w:szCs w:val="24"/>
          <w:highlight w:val="none"/>
          <w:lang w:val="en-US" w:eastAsia="zh-CN" w:bidi="ar-SA"/>
        </w:rPr>
        <w:t>，属于（中型企业、小型企业、微型企业）；</w:t>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 （标的名称） ，属于（采购文件中明确的所属行业）行业；制造商为（企业名称），从业人员    人，营业收入为    万元，资产总额为    万元，属于（中型企业、小型企业、微型企业）；</w:t>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w:t>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以上企业，不属于大企业的分支机构，不存在控股股东为大企业的情形，也不存在与大企业的负责人为同一人的情形。 </w:t>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本企业对上述声明内容的真实性负责。如有虚假，将依法承担相应责任。 </w:t>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right"/>
        <w:textAlignment w:val="auto"/>
        <w:outlineLvl w:val="9"/>
        <w:rPr>
          <w:rFonts w:hint="eastAsia" w:ascii="仿宋" w:hAnsi="仿宋" w:eastAsia="仿宋" w:cs="仿宋"/>
          <w:kern w:val="2"/>
          <w:sz w:val="24"/>
          <w:szCs w:val="24"/>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right"/>
        <w:textAlignment w:val="auto"/>
        <w:outlineLvl w:val="9"/>
        <w:rPr>
          <w:rFonts w:hint="eastAsia" w:ascii="仿宋" w:hAnsi="仿宋" w:eastAsia="仿宋" w:cs="仿宋"/>
          <w:kern w:val="2"/>
          <w:sz w:val="24"/>
          <w:szCs w:val="24"/>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供应商名称（盖章）： </w:t>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日 期：</w:t>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r>
        <w:rPr>
          <w:rFonts w:hint="eastAsia" w:ascii="仿宋" w:hAnsi="仿宋" w:eastAsia="仿宋" w:cs="仿宋"/>
          <w:kern w:val="2"/>
          <w:sz w:val="24"/>
          <w:szCs w:val="24"/>
          <w:highlight w:val="none"/>
          <w:lang w:val="en-US" w:eastAsia="zh-CN" w:bidi="ar-SA"/>
        </w:rPr>
        <w:br w:type="page"/>
      </w:r>
      <w:bookmarkStart w:id="144" w:name="_Toc13584"/>
      <w:r>
        <w:rPr>
          <w:rFonts w:hint="eastAsia" w:ascii="仿宋" w:hAnsi="仿宋" w:eastAsia="仿宋" w:cs="仿宋"/>
          <w:highlight w:val="none"/>
        </w:rPr>
        <w:t>附件十</w:t>
      </w:r>
      <w:r>
        <w:rPr>
          <w:rFonts w:hint="eastAsia" w:ascii="仿宋" w:hAnsi="仿宋" w:eastAsia="仿宋" w:cs="仿宋"/>
          <w:highlight w:val="none"/>
          <w:lang w:val="en-US" w:eastAsia="zh-CN"/>
        </w:rPr>
        <w:t>二</w:t>
      </w:r>
      <w:bookmarkEnd w:id="144"/>
    </w:p>
    <w:p>
      <w:pPr>
        <w:spacing w:line="360" w:lineRule="auto"/>
        <w:rPr>
          <w:rFonts w:hint="eastAsia" w:ascii="仿宋" w:hAnsi="仿宋" w:eastAsia="仿宋" w:cs="仿宋"/>
          <w:b/>
          <w:sz w:val="28"/>
          <w:szCs w:val="28"/>
          <w:highlight w:val="none"/>
        </w:rPr>
      </w:pPr>
    </w:p>
    <w:p>
      <w:pPr>
        <w:spacing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残疾人福利性单位声明函（如有时，请填写）</w:t>
      </w:r>
    </w:p>
    <w:p>
      <w:pPr>
        <w:autoSpaceDE w:val="0"/>
        <w:autoSpaceDN w:val="0"/>
        <w:spacing w:before="50" w:after="50"/>
        <w:rPr>
          <w:rFonts w:hint="eastAsia" w:ascii="仿宋" w:hAnsi="仿宋" w:eastAsia="仿宋" w:cs="仿宋"/>
          <w:sz w:val="24"/>
          <w:highlight w:val="none"/>
        </w:rPr>
      </w:pPr>
    </w:p>
    <w:p>
      <w:pPr>
        <w:autoSpaceDE w:val="0"/>
        <w:autoSpaceDN w:val="0"/>
        <w:spacing w:before="50" w:after="5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autoSpaceDE w:val="0"/>
        <w:autoSpaceDN w:val="0"/>
        <w:spacing w:before="50" w:after="5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pPr>
        <w:autoSpaceDE w:val="0"/>
        <w:autoSpaceDN w:val="0"/>
        <w:spacing w:before="50" w:after="50"/>
        <w:rPr>
          <w:rFonts w:hint="eastAsia" w:ascii="仿宋" w:hAnsi="仿宋" w:eastAsia="仿宋" w:cs="仿宋"/>
          <w:sz w:val="24"/>
          <w:highlight w:val="none"/>
        </w:rPr>
      </w:pPr>
    </w:p>
    <w:p>
      <w:pPr>
        <w:autoSpaceDE w:val="0"/>
        <w:autoSpaceDN w:val="0"/>
        <w:spacing w:before="50" w:after="50"/>
        <w:rPr>
          <w:rFonts w:hint="eastAsia" w:ascii="仿宋" w:hAnsi="仿宋" w:eastAsia="仿宋" w:cs="仿宋"/>
          <w:sz w:val="24"/>
          <w:highlight w:val="none"/>
        </w:rPr>
      </w:pPr>
    </w:p>
    <w:p>
      <w:pPr>
        <w:autoSpaceDE w:val="0"/>
        <w:autoSpaceDN w:val="0"/>
        <w:spacing w:before="50" w:after="50"/>
        <w:jc w:val="righ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r>
        <w:rPr>
          <w:rFonts w:hint="eastAsia" w:ascii="仿宋" w:hAnsi="仿宋" w:eastAsia="仿宋" w:cs="仿宋"/>
          <w:sz w:val="24"/>
          <w:highlight w:val="none"/>
          <w:lang w:val="zh-CN"/>
        </w:rPr>
        <w:t>公章</w:t>
      </w:r>
      <w:r>
        <w:rPr>
          <w:rFonts w:hint="eastAsia" w:ascii="仿宋" w:hAnsi="仿宋" w:eastAsia="仿宋" w:cs="仿宋"/>
          <w:sz w:val="24"/>
          <w:highlight w:val="none"/>
        </w:rPr>
        <w:t>）：</w:t>
      </w:r>
    </w:p>
    <w:p>
      <w:pPr>
        <w:autoSpaceDE w:val="0"/>
        <w:autoSpaceDN w:val="0"/>
        <w:spacing w:before="50" w:after="50"/>
        <w:jc w:val="right"/>
        <w:rPr>
          <w:rFonts w:hint="eastAsia" w:ascii="仿宋" w:hAnsi="仿宋" w:eastAsia="仿宋" w:cs="仿宋"/>
          <w:sz w:val="24"/>
          <w:highlight w:val="none"/>
        </w:rPr>
      </w:pPr>
      <w:r>
        <w:rPr>
          <w:rFonts w:hint="eastAsia" w:ascii="仿宋" w:hAnsi="仿宋" w:eastAsia="仿宋" w:cs="仿宋"/>
          <w:sz w:val="24"/>
          <w:highlight w:val="none"/>
        </w:rPr>
        <w:t>日  期：</w:t>
      </w:r>
    </w:p>
    <w:p>
      <w:pPr>
        <w:rPr>
          <w:rFonts w:hint="eastAsia" w:ascii="仿宋" w:hAnsi="仿宋" w:eastAsia="仿宋" w:cs="仿宋"/>
          <w:b/>
          <w:sz w:val="24"/>
          <w:highlight w:val="none"/>
        </w:rPr>
      </w:pPr>
    </w:p>
    <w:p>
      <w:pPr>
        <w:rPr>
          <w:rFonts w:hint="eastAsia" w:ascii="仿宋" w:hAnsi="仿宋" w:eastAsia="仿宋" w:cs="仿宋"/>
          <w:kern w:val="0"/>
          <w:sz w:val="2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bookmarkStart w:id="145" w:name="_Toc26190"/>
      <w:r>
        <w:rPr>
          <w:rFonts w:hint="eastAsia" w:ascii="仿宋" w:hAnsi="仿宋" w:eastAsia="仿宋" w:cs="仿宋"/>
          <w:highlight w:val="none"/>
        </w:rPr>
        <w:t>附件十</w:t>
      </w:r>
      <w:r>
        <w:rPr>
          <w:rFonts w:hint="eastAsia" w:ascii="仿宋" w:hAnsi="仿宋" w:eastAsia="仿宋" w:cs="仿宋"/>
          <w:highlight w:val="none"/>
          <w:lang w:val="en-US" w:eastAsia="zh-CN"/>
        </w:rPr>
        <w:t>三</w:t>
      </w:r>
      <w:bookmarkEnd w:id="145"/>
    </w:p>
    <w:p>
      <w:pPr>
        <w:pStyle w:val="18"/>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32"/>
          <w:szCs w:val="32"/>
          <w:highlight w:val="none"/>
        </w:rPr>
      </w:pPr>
      <w:bookmarkStart w:id="146" w:name="_Toc22089"/>
      <w:bookmarkStart w:id="147" w:name="_Toc3866"/>
      <w:r>
        <w:rPr>
          <w:rFonts w:hint="eastAsia" w:ascii="仿宋" w:hAnsi="仿宋" w:eastAsia="仿宋" w:cs="仿宋"/>
          <w:b/>
          <w:bCs/>
          <w:sz w:val="28"/>
          <w:szCs w:val="28"/>
          <w:highlight w:val="none"/>
        </w:rPr>
        <w:t>环境标志产品明细表</w:t>
      </w:r>
      <w:r>
        <w:rPr>
          <w:rFonts w:hint="eastAsia" w:ascii="仿宋" w:hAnsi="仿宋" w:eastAsia="仿宋" w:cs="仿宋"/>
          <w:b/>
          <w:sz w:val="28"/>
          <w:szCs w:val="28"/>
          <w:highlight w:val="none"/>
        </w:rPr>
        <w:t>（如有时，请填写）</w:t>
      </w:r>
      <w:bookmarkEnd w:id="146"/>
      <w:bookmarkEnd w:id="147"/>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48" w:name="_Toc21592"/>
      <w:bookmarkStart w:id="149" w:name="_Toc24128"/>
      <w:r>
        <w:rPr>
          <w:rFonts w:hint="eastAsia" w:ascii="仿宋" w:hAnsi="仿宋" w:eastAsia="仿宋" w:cs="仿宋"/>
          <w:sz w:val="24"/>
          <w:highlight w:val="none"/>
        </w:rPr>
        <w:t>项目编号：</w:t>
      </w:r>
      <w:bookmarkEnd w:id="148"/>
      <w:bookmarkEnd w:id="149"/>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0" w:name="_Toc5587"/>
      <w:bookmarkStart w:id="151" w:name="_Toc17836"/>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名称（盖章）：</w:t>
      </w:r>
      <w:bookmarkEnd w:id="150"/>
      <w:bookmarkEnd w:id="151"/>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2" w:name="_Toc25312"/>
      <w:bookmarkStart w:id="153" w:name="_Toc10942"/>
      <w:r>
        <w:rPr>
          <w:rFonts w:hint="eastAsia" w:ascii="仿宋" w:hAnsi="仿宋" w:eastAsia="仿宋" w:cs="仿宋"/>
          <w:sz w:val="24"/>
          <w:highlight w:val="none"/>
        </w:rPr>
        <w:t>法定代表人或授权代理人签字：</w:t>
      </w:r>
      <w:bookmarkEnd w:id="152"/>
      <w:bookmarkEnd w:id="153"/>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 xml:space="preserve">                                                     </w:t>
      </w:r>
      <w:bookmarkStart w:id="154" w:name="_Toc14833"/>
      <w:bookmarkStart w:id="155" w:name="_Toc7093"/>
      <w:r>
        <w:rPr>
          <w:rFonts w:hint="eastAsia" w:ascii="仿宋" w:hAnsi="仿宋" w:eastAsia="仿宋" w:cs="仿宋"/>
          <w:sz w:val="24"/>
          <w:highlight w:val="none"/>
        </w:rPr>
        <w:t>单位：  元</w:t>
      </w:r>
      <w:bookmarkEnd w:id="154"/>
      <w:bookmarkEnd w:id="155"/>
    </w:p>
    <w:tbl>
      <w:tblPr>
        <w:tblStyle w:val="43"/>
        <w:tblW w:w="9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92"/>
        <w:gridCol w:w="718"/>
        <w:gridCol w:w="1293"/>
        <w:gridCol w:w="1436"/>
        <w:gridCol w:w="1245"/>
        <w:gridCol w:w="835"/>
        <w:gridCol w:w="835"/>
        <w:gridCol w:w="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jc w:val="center"/>
        </w:trPr>
        <w:tc>
          <w:tcPr>
            <w:tcW w:w="1311"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6" w:name="_Toc20925"/>
            <w:bookmarkStart w:id="157" w:name="_Toc25090"/>
            <w:r>
              <w:rPr>
                <w:rFonts w:hint="eastAsia" w:ascii="仿宋" w:hAnsi="仿宋" w:eastAsia="仿宋" w:cs="仿宋"/>
                <w:sz w:val="24"/>
                <w:highlight w:val="none"/>
              </w:rPr>
              <w:t>产品名称</w:t>
            </w:r>
            <w:bookmarkEnd w:id="156"/>
            <w:bookmarkEnd w:id="157"/>
          </w:p>
        </w:tc>
        <w:tc>
          <w:tcPr>
            <w:tcW w:w="1292"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8" w:name="_Toc27186"/>
            <w:bookmarkStart w:id="159" w:name="_Toc6286"/>
            <w:r>
              <w:rPr>
                <w:rFonts w:hint="eastAsia" w:ascii="仿宋" w:hAnsi="仿宋" w:eastAsia="仿宋" w:cs="仿宋"/>
                <w:sz w:val="24"/>
                <w:highlight w:val="none"/>
              </w:rPr>
              <w:t>企业名称</w:t>
            </w:r>
            <w:bookmarkEnd w:id="158"/>
            <w:bookmarkEnd w:id="159"/>
          </w:p>
        </w:tc>
        <w:tc>
          <w:tcPr>
            <w:tcW w:w="718"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0" w:name="_Toc30697"/>
            <w:bookmarkStart w:id="161" w:name="_Toc15953"/>
            <w:r>
              <w:rPr>
                <w:rFonts w:hint="eastAsia" w:ascii="仿宋" w:hAnsi="仿宋" w:eastAsia="仿宋" w:cs="仿宋"/>
                <w:sz w:val="24"/>
                <w:highlight w:val="none"/>
              </w:rPr>
              <w:t>品牌</w:t>
            </w:r>
            <w:bookmarkEnd w:id="160"/>
            <w:bookmarkEnd w:id="161"/>
          </w:p>
        </w:tc>
        <w:tc>
          <w:tcPr>
            <w:tcW w:w="1293"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2" w:name="_Toc9630"/>
            <w:bookmarkStart w:id="163" w:name="_Toc32660"/>
            <w:r>
              <w:rPr>
                <w:rFonts w:hint="eastAsia" w:ascii="仿宋" w:hAnsi="仿宋" w:eastAsia="仿宋" w:cs="仿宋"/>
                <w:sz w:val="24"/>
                <w:highlight w:val="none"/>
              </w:rPr>
              <w:t>规格型号</w:t>
            </w:r>
            <w:bookmarkEnd w:id="162"/>
            <w:bookmarkEnd w:id="163"/>
          </w:p>
        </w:tc>
        <w:tc>
          <w:tcPr>
            <w:tcW w:w="1436"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4" w:name="_Toc31452"/>
            <w:bookmarkStart w:id="165" w:name="_Toc150"/>
            <w:r>
              <w:rPr>
                <w:rFonts w:hint="eastAsia" w:ascii="仿宋" w:hAnsi="仿宋" w:eastAsia="仿宋" w:cs="仿宋"/>
                <w:sz w:val="24"/>
                <w:highlight w:val="none"/>
              </w:rPr>
              <w:t>中国环境标志认证证书编号</w:t>
            </w:r>
            <w:bookmarkEnd w:id="164"/>
            <w:bookmarkEnd w:id="165"/>
          </w:p>
        </w:tc>
        <w:tc>
          <w:tcPr>
            <w:tcW w:w="1245"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6" w:name="_Toc30528"/>
            <w:bookmarkStart w:id="167" w:name="_Toc23007"/>
            <w:r>
              <w:rPr>
                <w:rFonts w:hint="eastAsia" w:ascii="仿宋" w:hAnsi="仿宋" w:eastAsia="仿宋" w:cs="仿宋"/>
                <w:sz w:val="24"/>
                <w:highlight w:val="none"/>
              </w:rPr>
              <w:t>认证证书有效截止日期</w:t>
            </w:r>
            <w:bookmarkEnd w:id="166"/>
            <w:bookmarkEnd w:id="167"/>
          </w:p>
        </w:tc>
        <w:tc>
          <w:tcPr>
            <w:tcW w:w="2505" w:type="dxa"/>
            <w:gridSpan w:val="3"/>
            <w:vAlign w:val="center"/>
          </w:tcPr>
          <w:p>
            <w:pPr>
              <w:pStyle w:val="18"/>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sz w:val="24"/>
                <w:highlight w:val="none"/>
              </w:rPr>
            </w:pPr>
            <w:bookmarkStart w:id="168" w:name="_Toc2096"/>
            <w:bookmarkStart w:id="169" w:name="_Toc30981"/>
            <w:r>
              <w:rPr>
                <w:rFonts w:hint="eastAsia" w:ascii="仿宋" w:hAnsi="仿宋" w:eastAsia="仿宋" w:cs="仿宋"/>
                <w:sz w:val="24"/>
                <w:highlight w:val="none"/>
              </w:rPr>
              <w:t>价格</w:t>
            </w:r>
            <w:bookmarkEnd w:id="168"/>
            <w:bookmarkEnd w:id="16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311"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0" w:name="_Toc6844"/>
            <w:bookmarkStart w:id="171" w:name="_Toc5051"/>
            <w:r>
              <w:rPr>
                <w:rFonts w:hint="eastAsia" w:ascii="仿宋" w:hAnsi="仿宋" w:eastAsia="仿宋" w:cs="仿宋"/>
                <w:sz w:val="24"/>
                <w:highlight w:val="none"/>
              </w:rPr>
              <w:t>单价</w:t>
            </w:r>
            <w:bookmarkEnd w:id="170"/>
            <w:bookmarkEnd w:id="171"/>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2" w:name="_Toc30605"/>
            <w:bookmarkStart w:id="173" w:name="_Toc1018"/>
            <w:r>
              <w:rPr>
                <w:rFonts w:hint="eastAsia" w:ascii="仿宋" w:hAnsi="仿宋" w:eastAsia="仿宋" w:cs="仿宋"/>
                <w:sz w:val="24"/>
                <w:highlight w:val="none"/>
              </w:rPr>
              <w:t>数量</w:t>
            </w:r>
            <w:bookmarkEnd w:id="172"/>
            <w:bookmarkEnd w:id="173"/>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4" w:name="_Toc20684"/>
            <w:bookmarkStart w:id="175" w:name="_Toc7405"/>
            <w:r>
              <w:rPr>
                <w:rFonts w:hint="eastAsia" w:ascii="仿宋" w:hAnsi="仿宋" w:eastAsia="仿宋" w:cs="仿宋"/>
                <w:sz w:val="24"/>
                <w:highlight w:val="none"/>
              </w:rPr>
              <w:t>小计</w:t>
            </w:r>
            <w:bookmarkEnd w:id="174"/>
            <w:bookmarkEnd w:id="1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1311"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311"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311"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311"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bl>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6" w:name="_Toc13381"/>
      <w:bookmarkStart w:id="177" w:name="_Toc20245"/>
      <w:r>
        <w:rPr>
          <w:rFonts w:hint="eastAsia" w:ascii="仿宋" w:hAnsi="仿宋" w:eastAsia="仿宋" w:cs="仿宋"/>
          <w:sz w:val="24"/>
          <w:highlight w:val="none"/>
        </w:rPr>
        <w:t>注：</w:t>
      </w:r>
      <w:bookmarkEnd w:id="176"/>
      <w:bookmarkEnd w:id="177"/>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8" w:name="_Toc11696"/>
      <w:bookmarkStart w:id="179" w:name="_Toc26367"/>
      <w:r>
        <w:rPr>
          <w:rFonts w:hint="eastAsia" w:ascii="仿宋" w:hAnsi="仿宋" w:eastAsia="仿宋" w:cs="仿宋"/>
          <w:sz w:val="24"/>
          <w:highlight w:val="none"/>
        </w:rPr>
        <w:t>1.环境标志产品根据财政部、环境保护部最新公布的环境标志产品政府采购清单确定。</w:t>
      </w:r>
      <w:bookmarkEnd w:id="178"/>
      <w:bookmarkEnd w:id="179"/>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80" w:name="_Toc11884"/>
      <w:bookmarkStart w:id="181" w:name="_Toc30461"/>
      <w:r>
        <w:rPr>
          <w:rFonts w:hint="eastAsia" w:ascii="仿宋" w:hAnsi="仿宋" w:eastAsia="仿宋" w:cs="仿宋"/>
          <w:sz w:val="24"/>
          <w:highlight w:val="none"/>
        </w:rPr>
        <w:t>2.如所投产品为环保产品，必须按规定格式逐项填写，否则评审时不予加分。</w:t>
      </w:r>
      <w:bookmarkEnd w:id="180"/>
      <w:bookmarkEnd w:id="181"/>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82" w:name="_Toc22323"/>
      <w:bookmarkStart w:id="183" w:name="_Toc7098"/>
      <w:r>
        <w:rPr>
          <w:rFonts w:hint="eastAsia" w:ascii="仿宋" w:hAnsi="仿宋" w:eastAsia="仿宋" w:cs="仿宋"/>
          <w:sz w:val="24"/>
          <w:highlight w:val="none"/>
        </w:rPr>
        <w:t>3.此表可根据需要同格式扩展。</w:t>
      </w:r>
      <w:bookmarkEnd w:id="182"/>
      <w:bookmarkEnd w:id="183"/>
    </w:p>
    <w:p>
      <w:pPr>
        <w:pStyle w:val="18"/>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bookmarkStart w:id="184" w:name="_Toc30141"/>
      <w:bookmarkStart w:id="185" w:name="_Toc11249"/>
      <w:bookmarkStart w:id="186" w:name="_Toc422310864"/>
      <w:r>
        <w:rPr>
          <w:rFonts w:hint="eastAsia" w:ascii="仿宋" w:hAnsi="仿宋" w:eastAsia="仿宋" w:cs="仿宋"/>
          <w:sz w:val="24"/>
          <w:highlight w:val="none"/>
        </w:rPr>
        <w:t>年   月   日</w:t>
      </w:r>
      <w:bookmarkEnd w:id="184"/>
      <w:bookmarkEnd w:id="185"/>
      <w:r>
        <w:rPr>
          <w:rFonts w:hint="eastAsia" w:ascii="仿宋" w:hAnsi="仿宋" w:eastAsia="仿宋" w:cs="仿宋"/>
          <w:sz w:val="24"/>
          <w:highlight w:val="none"/>
        </w:rPr>
        <w:t xml:space="preserve"> </w:t>
      </w:r>
      <w:bookmarkStart w:id="187" w:name="_Toc12810"/>
      <w:bookmarkStart w:id="188" w:name="_Toc28965"/>
    </w:p>
    <w:bookmarkEnd w:id="187"/>
    <w:bookmarkEnd w:id="188"/>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highlight w:val="none"/>
        </w:rPr>
      </w:pPr>
      <w:bookmarkStart w:id="189" w:name="_Toc19633"/>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bookmarkStart w:id="190" w:name="_Toc9942"/>
      <w:r>
        <w:rPr>
          <w:rFonts w:hint="eastAsia" w:ascii="仿宋" w:hAnsi="仿宋" w:eastAsia="仿宋" w:cs="仿宋"/>
          <w:highlight w:val="none"/>
        </w:rPr>
        <w:t>附件十</w:t>
      </w:r>
      <w:r>
        <w:rPr>
          <w:rFonts w:hint="eastAsia" w:ascii="仿宋" w:hAnsi="仿宋" w:eastAsia="仿宋" w:cs="仿宋"/>
          <w:highlight w:val="none"/>
          <w:lang w:val="en-US" w:eastAsia="zh-CN"/>
        </w:rPr>
        <w:t>四</w:t>
      </w:r>
      <w:bookmarkEnd w:id="190"/>
    </w:p>
    <w:p>
      <w:pPr>
        <w:pStyle w:val="18"/>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28"/>
          <w:szCs w:val="28"/>
          <w:highlight w:val="none"/>
        </w:rPr>
      </w:pPr>
      <w:bookmarkStart w:id="191" w:name="_Toc22814"/>
      <w:bookmarkStart w:id="192" w:name="_Toc22371"/>
      <w:r>
        <w:rPr>
          <w:rFonts w:hint="eastAsia" w:ascii="仿宋" w:hAnsi="仿宋" w:eastAsia="仿宋" w:cs="仿宋"/>
          <w:b/>
          <w:bCs/>
          <w:sz w:val="28"/>
          <w:szCs w:val="28"/>
          <w:highlight w:val="none"/>
        </w:rPr>
        <w:t>节能产品明细表</w:t>
      </w:r>
      <w:bookmarkEnd w:id="186"/>
      <w:bookmarkEnd w:id="189"/>
      <w:r>
        <w:rPr>
          <w:rFonts w:hint="eastAsia" w:ascii="仿宋" w:hAnsi="仿宋" w:eastAsia="仿宋" w:cs="仿宋"/>
          <w:b/>
          <w:sz w:val="28"/>
          <w:szCs w:val="28"/>
          <w:highlight w:val="none"/>
        </w:rPr>
        <w:t>（如有时，请填写）</w:t>
      </w:r>
      <w:bookmarkEnd w:id="191"/>
      <w:bookmarkEnd w:id="192"/>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93" w:name="_Toc17100"/>
      <w:bookmarkStart w:id="194" w:name="_Toc30806"/>
      <w:r>
        <w:rPr>
          <w:rFonts w:hint="eastAsia" w:ascii="仿宋" w:hAnsi="仿宋" w:eastAsia="仿宋" w:cs="仿宋"/>
          <w:sz w:val="24"/>
          <w:highlight w:val="none"/>
        </w:rPr>
        <w:t>项目编号：</w:t>
      </w:r>
      <w:bookmarkEnd w:id="193"/>
      <w:bookmarkEnd w:id="194"/>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95" w:name="_Toc9983"/>
      <w:bookmarkStart w:id="196" w:name="_Toc9236"/>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名称（盖章）：</w:t>
      </w:r>
      <w:bookmarkEnd w:id="195"/>
      <w:bookmarkEnd w:id="196"/>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97" w:name="_Toc17485"/>
      <w:bookmarkStart w:id="198" w:name="_Toc2649"/>
      <w:r>
        <w:rPr>
          <w:rFonts w:hint="eastAsia" w:ascii="仿宋" w:hAnsi="仿宋" w:eastAsia="仿宋" w:cs="仿宋"/>
          <w:sz w:val="24"/>
          <w:highlight w:val="none"/>
        </w:rPr>
        <w:t>法定代表人或授权代理人签字：</w:t>
      </w:r>
      <w:bookmarkEnd w:id="197"/>
      <w:bookmarkEnd w:id="198"/>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 xml:space="preserve">                        </w:t>
      </w:r>
      <w:bookmarkStart w:id="199" w:name="_Toc5918"/>
      <w:bookmarkStart w:id="200" w:name="_Toc18941"/>
      <w:r>
        <w:rPr>
          <w:rFonts w:hint="eastAsia" w:ascii="仿宋" w:hAnsi="仿宋" w:eastAsia="仿宋" w:cs="仿宋"/>
          <w:sz w:val="24"/>
          <w:highlight w:val="none"/>
        </w:rPr>
        <w:t>单位：元</w:t>
      </w:r>
      <w:bookmarkEnd w:id="199"/>
      <w:bookmarkEnd w:id="200"/>
    </w:p>
    <w:tbl>
      <w:tblPr>
        <w:tblStyle w:val="43"/>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143"/>
        <w:gridCol w:w="1001"/>
        <w:gridCol w:w="713"/>
        <w:gridCol w:w="1573"/>
        <w:gridCol w:w="1226"/>
        <w:gridCol w:w="1632"/>
        <w:gridCol w:w="804"/>
        <w:gridCol w:w="805"/>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719"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1" w:name="_Toc26344"/>
            <w:bookmarkStart w:id="202" w:name="_Toc17710"/>
            <w:r>
              <w:rPr>
                <w:rFonts w:hint="eastAsia" w:ascii="仿宋" w:hAnsi="仿宋" w:eastAsia="仿宋" w:cs="仿宋"/>
                <w:sz w:val="24"/>
                <w:highlight w:val="none"/>
              </w:rPr>
              <w:t>序号</w:t>
            </w:r>
            <w:bookmarkEnd w:id="201"/>
            <w:bookmarkEnd w:id="202"/>
          </w:p>
        </w:tc>
        <w:tc>
          <w:tcPr>
            <w:tcW w:w="1143"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3" w:name="_Toc8978"/>
            <w:bookmarkStart w:id="204" w:name="_Toc4968"/>
            <w:r>
              <w:rPr>
                <w:rFonts w:hint="eastAsia" w:ascii="仿宋" w:hAnsi="仿宋" w:eastAsia="仿宋" w:cs="仿宋"/>
                <w:sz w:val="24"/>
                <w:highlight w:val="none"/>
              </w:rPr>
              <w:t>产品</w:t>
            </w:r>
            <w:bookmarkEnd w:id="203"/>
            <w:bookmarkEnd w:id="204"/>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5" w:name="_Toc31660"/>
            <w:bookmarkStart w:id="206" w:name="_Toc641"/>
            <w:r>
              <w:rPr>
                <w:rFonts w:hint="eastAsia" w:ascii="仿宋" w:hAnsi="仿宋" w:eastAsia="仿宋" w:cs="仿宋"/>
                <w:sz w:val="24"/>
                <w:highlight w:val="none"/>
              </w:rPr>
              <w:t>名称</w:t>
            </w:r>
            <w:bookmarkEnd w:id="205"/>
            <w:bookmarkEnd w:id="206"/>
          </w:p>
        </w:tc>
        <w:tc>
          <w:tcPr>
            <w:tcW w:w="1001"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7" w:name="_Toc30067"/>
            <w:bookmarkStart w:id="208" w:name="_Toc603"/>
            <w:r>
              <w:rPr>
                <w:rFonts w:hint="eastAsia" w:ascii="仿宋" w:hAnsi="仿宋" w:eastAsia="仿宋" w:cs="仿宋"/>
                <w:sz w:val="24"/>
                <w:highlight w:val="none"/>
              </w:rPr>
              <w:t>制造商</w:t>
            </w:r>
            <w:bookmarkEnd w:id="207"/>
            <w:bookmarkEnd w:id="208"/>
          </w:p>
        </w:tc>
        <w:tc>
          <w:tcPr>
            <w:tcW w:w="713"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9" w:name="_Toc23177"/>
            <w:bookmarkStart w:id="210" w:name="_Toc11796"/>
            <w:r>
              <w:rPr>
                <w:rFonts w:hint="eastAsia" w:ascii="仿宋" w:hAnsi="仿宋" w:eastAsia="仿宋" w:cs="仿宋"/>
                <w:sz w:val="24"/>
                <w:highlight w:val="none"/>
              </w:rPr>
              <w:t>品牌</w:t>
            </w:r>
            <w:bookmarkEnd w:id="209"/>
            <w:bookmarkEnd w:id="210"/>
          </w:p>
        </w:tc>
        <w:tc>
          <w:tcPr>
            <w:tcW w:w="1573"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1" w:name="_Toc6466"/>
            <w:bookmarkStart w:id="212" w:name="_Toc29758"/>
            <w:r>
              <w:rPr>
                <w:rFonts w:hint="eastAsia" w:ascii="仿宋" w:hAnsi="仿宋" w:eastAsia="仿宋" w:cs="仿宋"/>
                <w:sz w:val="24"/>
                <w:highlight w:val="none"/>
              </w:rPr>
              <w:t>产品型号</w:t>
            </w:r>
            <w:bookmarkEnd w:id="211"/>
            <w:bookmarkEnd w:id="212"/>
          </w:p>
        </w:tc>
        <w:tc>
          <w:tcPr>
            <w:tcW w:w="1226"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3" w:name="_Toc17334"/>
            <w:bookmarkStart w:id="214" w:name="_Toc1046"/>
            <w:r>
              <w:rPr>
                <w:rFonts w:hint="eastAsia" w:ascii="仿宋" w:hAnsi="仿宋" w:eastAsia="仿宋" w:cs="仿宋"/>
                <w:sz w:val="24"/>
                <w:highlight w:val="none"/>
              </w:rPr>
              <w:t>节能标志认证证书号</w:t>
            </w:r>
            <w:bookmarkEnd w:id="213"/>
            <w:bookmarkEnd w:id="214"/>
          </w:p>
        </w:tc>
        <w:tc>
          <w:tcPr>
            <w:tcW w:w="1632" w:type="dxa"/>
            <w:vMerge w:val="restart"/>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5" w:name="_Toc16084"/>
            <w:bookmarkStart w:id="216" w:name="_Toc12949"/>
            <w:r>
              <w:rPr>
                <w:rFonts w:hint="eastAsia" w:ascii="仿宋" w:hAnsi="仿宋" w:eastAsia="仿宋" w:cs="仿宋"/>
                <w:sz w:val="24"/>
                <w:highlight w:val="none"/>
              </w:rPr>
              <w:t>节能产品认证证书有效截止日期</w:t>
            </w:r>
            <w:bookmarkEnd w:id="215"/>
            <w:bookmarkEnd w:id="216"/>
          </w:p>
        </w:tc>
        <w:tc>
          <w:tcPr>
            <w:tcW w:w="2413" w:type="dxa"/>
            <w:gridSpan w:val="3"/>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7" w:name="_Toc25276"/>
            <w:bookmarkStart w:id="218" w:name="_Toc28212"/>
            <w:r>
              <w:rPr>
                <w:rFonts w:hint="eastAsia" w:ascii="仿宋" w:hAnsi="仿宋" w:eastAsia="仿宋" w:cs="仿宋"/>
                <w:sz w:val="24"/>
                <w:highlight w:val="none"/>
              </w:rPr>
              <w:t>价格</w:t>
            </w:r>
            <w:bookmarkEnd w:id="217"/>
            <w:bookmarkEnd w:id="2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719"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Merge w:val="continue"/>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9" w:name="_Toc625"/>
            <w:bookmarkStart w:id="220" w:name="_Toc26921"/>
            <w:r>
              <w:rPr>
                <w:rFonts w:hint="eastAsia" w:ascii="仿宋" w:hAnsi="仿宋" w:eastAsia="仿宋" w:cs="仿宋"/>
                <w:sz w:val="24"/>
                <w:highlight w:val="none"/>
              </w:rPr>
              <w:t>单价</w:t>
            </w:r>
            <w:bookmarkEnd w:id="219"/>
            <w:bookmarkEnd w:id="220"/>
          </w:p>
        </w:tc>
        <w:tc>
          <w:tcPr>
            <w:tcW w:w="80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1" w:name="_Toc23322"/>
            <w:bookmarkStart w:id="222" w:name="_Toc10659"/>
            <w:r>
              <w:rPr>
                <w:rFonts w:hint="eastAsia" w:ascii="仿宋" w:hAnsi="仿宋" w:eastAsia="仿宋" w:cs="仿宋"/>
                <w:sz w:val="24"/>
                <w:highlight w:val="none"/>
              </w:rPr>
              <w:t>数量</w:t>
            </w:r>
            <w:bookmarkEnd w:id="221"/>
            <w:bookmarkEnd w:id="222"/>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3" w:name="_Toc11874"/>
            <w:bookmarkStart w:id="224" w:name="_Toc4339"/>
            <w:r>
              <w:rPr>
                <w:rFonts w:hint="eastAsia" w:ascii="仿宋" w:hAnsi="仿宋" w:eastAsia="仿宋" w:cs="仿宋"/>
                <w:sz w:val="24"/>
                <w:highlight w:val="none"/>
              </w:rPr>
              <w:t>小计</w:t>
            </w:r>
            <w:bookmarkEnd w:id="223"/>
            <w:bookmarkEnd w:id="2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1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1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bl>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5" w:name="_Toc28704"/>
      <w:bookmarkStart w:id="226" w:name="_Toc18771"/>
      <w:r>
        <w:rPr>
          <w:rFonts w:hint="eastAsia" w:ascii="仿宋" w:hAnsi="仿宋" w:eastAsia="仿宋" w:cs="仿宋"/>
          <w:sz w:val="24"/>
          <w:highlight w:val="none"/>
        </w:rPr>
        <w:t>注：</w:t>
      </w:r>
      <w:bookmarkEnd w:id="225"/>
      <w:bookmarkEnd w:id="226"/>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7" w:name="_Toc18916"/>
      <w:bookmarkStart w:id="228" w:name="_Toc20445"/>
      <w:r>
        <w:rPr>
          <w:rFonts w:hint="eastAsia" w:ascii="仿宋" w:hAnsi="仿宋" w:eastAsia="仿宋" w:cs="仿宋"/>
          <w:sz w:val="24"/>
          <w:highlight w:val="none"/>
        </w:rPr>
        <w:t>1.节能产品根据财政部、国家发展改革委最新公布的节能产品政府采购清单确定。</w:t>
      </w:r>
      <w:bookmarkEnd w:id="227"/>
      <w:bookmarkEnd w:id="228"/>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9" w:name="_Toc11571"/>
      <w:bookmarkStart w:id="230" w:name="_Toc31369"/>
      <w:r>
        <w:rPr>
          <w:rFonts w:hint="eastAsia" w:ascii="仿宋" w:hAnsi="仿宋" w:eastAsia="仿宋" w:cs="仿宋"/>
          <w:sz w:val="24"/>
          <w:highlight w:val="none"/>
        </w:rPr>
        <w:t>2.如所投产品为节能产品（强制采购产品除外），必须按规定格式逐项填写，否则评审时不予加分。</w:t>
      </w:r>
      <w:bookmarkEnd w:id="229"/>
      <w:bookmarkEnd w:id="230"/>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31" w:name="_Toc6095"/>
      <w:bookmarkStart w:id="232" w:name="_Toc2224"/>
      <w:r>
        <w:rPr>
          <w:rFonts w:hint="eastAsia" w:ascii="仿宋" w:hAnsi="仿宋" w:eastAsia="仿宋" w:cs="仿宋"/>
          <w:sz w:val="24"/>
          <w:highlight w:val="none"/>
        </w:rPr>
        <w:t>3.此表可根据需要同格式扩展。</w:t>
      </w:r>
      <w:bookmarkEnd w:id="231"/>
      <w:bookmarkEnd w:id="232"/>
    </w:p>
    <w:p>
      <w:pPr>
        <w:pStyle w:val="18"/>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bookmarkStart w:id="233" w:name="_Toc14157"/>
      <w:bookmarkStart w:id="234" w:name="_Toc2222"/>
      <w:bookmarkStart w:id="235" w:name="_Toc422310865"/>
      <w:r>
        <w:rPr>
          <w:rFonts w:hint="eastAsia" w:ascii="仿宋" w:hAnsi="仿宋" w:eastAsia="仿宋" w:cs="仿宋"/>
          <w:sz w:val="24"/>
          <w:highlight w:val="none"/>
        </w:rPr>
        <w:t>年   月   日</w:t>
      </w:r>
      <w:bookmarkEnd w:id="233"/>
      <w:bookmarkEnd w:id="234"/>
      <w:r>
        <w:rPr>
          <w:rFonts w:hint="eastAsia" w:ascii="仿宋" w:hAnsi="仿宋" w:eastAsia="仿宋" w:cs="仿宋"/>
          <w:sz w:val="24"/>
          <w:highlight w:val="none"/>
        </w:rPr>
        <w:t xml:space="preserve"> </w:t>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r>
        <w:rPr>
          <w:rFonts w:hint="eastAsia" w:ascii="仿宋" w:hAnsi="仿宋" w:eastAsia="仿宋" w:cs="仿宋"/>
          <w:sz w:val="24"/>
          <w:highlight w:val="none"/>
        </w:rPr>
        <w:br w:type="page"/>
      </w:r>
      <w:bookmarkStart w:id="236" w:name="_Toc26091"/>
      <w:r>
        <w:rPr>
          <w:rFonts w:hint="eastAsia" w:ascii="仿宋" w:hAnsi="仿宋" w:eastAsia="仿宋" w:cs="仿宋"/>
          <w:highlight w:val="none"/>
        </w:rPr>
        <w:t>附件十</w:t>
      </w:r>
      <w:r>
        <w:rPr>
          <w:rFonts w:hint="eastAsia" w:ascii="仿宋" w:hAnsi="仿宋" w:eastAsia="仿宋" w:cs="仿宋"/>
          <w:highlight w:val="none"/>
          <w:lang w:val="en-US" w:eastAsia="zh-CN"/>
        </w:rPr>
        <w:t>五</w:t>
      </w:r>
      <w:bookmarkEnd w:id="236"/>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8"/>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28"/>
          <w:szCs w:val="28"/>
          <w:highlight w:val="none"/>
        </w:rPr>
      </w:pPr>
      <w:bookmarkStart w:id="237" w:name="_Toc7677"/>
      <w:bookmarkStart w:id="238" w:name="_Toc7822"/>
      <w:r>
        <w:rPr>
          <w:rFonts w:hint="eastAsia" w:ascii="仿宋" w:hAnsi="仿宋" w:eastAsia="仿宋" w:cs="仿宋"/>
          <w:b/>
          <w:bCs/>
          <w:sz w:val="28"/>
          <w:szCs w:val="28"/>
          <w:highlight w:val="none"/>
        </w:rPr>
        <w:t>政府强制采购节能产品明细表</w:t>
      </w:r>
      <w:bookmarkEnd w:id="235"/>
      <w:r>
        <w:rPr>
          <w:rFonts w:hint="eastAsia" w:ascii="仿宋" w:hAnsi="仿宋" w:eastAsia="仿宋" w:cs="仿宋"/>
          <w:b/>
          <w:sz w:val="28"/>
          <w:szCs w:val="28"/>
          <w:highlight w:val="none"/>
        </w:rPr>
        <w:t>（如有时，请填写）</w:t>
      </w:r>
      <w:bookmarkEnd w:id="237"/>
      <w:bookmarkEnd w:id="238"/>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39" w:name="_Toc28410"/>
      <w:bookmarkStart w:id="240" w:name="_Toc21450"/>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名称（盖章）：</w:t>
      </w:r>
      <w:bookmarkEnd w:id="239"/>
      <w:bookmarkEnd w:id="240"/>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1" w:name="_Toc28730"/>
      <w:bookmarkStart w:id="242" w:name="_Toc30557"/>
      <w:r>
        <w:rPr>
          <w:rFonts w:hint="eastAsia" w:ascii="仿宋" w:hAnsi="仿宋" w:eastAsia="仿宋" w:cs="仿宋"/>
          <w:sz w:val="24"/>
          <w:highlight w:val="none"/>
        </w:rPr>
        <w:t>法定代表人或授权代理人签字：</w:t>
      </w:r>
      <w:bookmarkEnd w:id="241"/>
      <w:bookmarkEnd w:id="242"/>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3" w:name="_Toc13393"/>
      <w:bookmarkStart w:id="244" w:name="_Toc1710"/>
      <w:r>
        <w:rPr>
          <w:rFonts w:hint="eastAsia" w:ascii="仿宋" w:hAnsi="仿宋" w:eastAsia="仿宋" w:cs="仿宋"/>
          <w:sz w:val="24"/>
          <w:highlight w:val="none"/>
        </w:rPr>
        <w:t>项目编号：</w:t>
      </w:r>
      <w:bookmarkEnd w:id="243"/>
      <w:bookmarkEnd w:id="244"/>
    </w:p>
    <w:p>
      <w:pPr>
        <w:pStyle w:val="18"/>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bookmarkStart w:id="245" w:name="_Toc25347"/>
      <w:bookmarkStart w:id="246" w:name="_Toc24311"/>
      <w:r>
        <w:rPr>
          <w:rFonts w:hint="eastAsia" w:ascii="仿宋" w:hAnsi="仿宋" w:eastAsia="仿宋" w:cs="仿宋"/>
          <w:sz w:val="24"/>
          <w:highlight w:val="none"/>
        </w:rPr>
        <w:t>单位：元</w:t>
      </w:r>
      <w:bookmarkEnd w:id="245"/>
      <w:bookmarkEnd w:id="246"/>
    </w:p>
    <w:tbl>
      <w:tblPr>
        <w:tblStyle w:val="43"/>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304"/>
        <w:gridCol w:w="1099"/>
        <w:gridCol w:w="929"/>
        <w:gridCol w:w="1430"/>
        <w:gridCol w:w="158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72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7" w:name="_Toc20598"/>
            <w:bookmarkStart w:id="248" w:name="_Toc1115"/>
            <w:r>
              <w:rPr>
                <w:rFonts w:hint="eastAsia" w:ascii="仿宋" w:hAnsi="仿宋" w:eastAsia="仿宋" w:cs="仿宋"/>
                <w:sz w:val="24"/>
                <w:highlight w:val="none"/>
              </w:rPr>
              <w:t>序号</w:t>
            </w:r>
            <w:bookmarkEnd w:id="247"/>
            <w:bookmarkEnd w:id="248"/>
          </w:p>
        </w:tc>
        <w:tc>
          <w:tcPr>
            <w:tcW w:w="13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9" w:name="_Toc7222"/>
            <w:bookmarkStart w:id="250" w:name="_Toc1702"/>
            <w:r>
              <w:rPr>
                <w:rFonts w:hint="eastAsia" w:ascii="仿宋" w:hAnsi="仿宋" w:eastAsia="仿宋" w:cs="仿宋"/>
                <w:sz w:val="24"/>
                <w:highlight w:val="none"/>
              </w:rPr>
              <w:t>产品名称</w:t>
            </w:r>
            <w:bookmarkEnd w:id="249"/>
            <w:bookmarkEnd w:id="250"/>
          </w:p>
        </w:tc>
        <w:tc>
          <w:tcPr>
            <w:tcW w:w="109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1" w:name="_Toc15010"/>
            <w:bookmarkStart w:id="252" w:name="_Toc28879"/>
            <w:r>
              <w:rPr>
                <w:rFonts w:hint="eastAsia" w:ascii="仿宋" w:hAnsi="仿宋" w:eastAsia="仿宋" w:cs="仿宋"/>
                <w:sz w:val="24"/>
                <w:highlight w:val="none"/>
              </w:rPr>
              <w:t>制造商</w:t>
            </w:r>
            <w:bookmarkEnd w:id="251"/>
            <w:bookmarkEnd w:id="252"/>
          </w:p>
        </w:tc>
        <w:tc>
          <w:tcPr>
            <w:tcW w:w="92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3" w:name="_Toc24715"/>
            <w:bookmarkStart w:id="254" w:name="_Toc17895"/>
            <w:r>
              <w:rPr>
                <w:rFonts w:hint="eastAsia" w:ascii="仿宋" w:hAnsi="仿宋" w:eastAsia="仿宋" w:cs="仿宋"/>
                <w:sz w:val="24"/>
                <w:highlight w:val="none"/>
              </w:rPr>
              <w:t>品牌</w:t>
            </w:r>
            <w:bookmarkEnd w:id="253"/>
            <w:bookmarkEnd w:id="254"/>
          </w:p>
        </w:tc>
        <w:tc>
          <w:tcPr>
            <w:tcW w:w="1430"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5" w:name="_Toc6329"/>
            <w:bookmarkStart w:id="256" w:name="_Toc6105"/>
            <w:r>
              <w:rPr>
                <w:rFonts w:hint="eastAsia" w:ascii="仿宋" w:hAnsi="仿宋" w:eastAsia="仿宋" w:cs="仿宋"/>
                <w:sz w:val="24"/>
                <w:highlight w:val="none"/>
              </w:rPr>
              <w:t>产品型号</w:t>
            </w:r>
            <w:bookmarkEnd w:id="255"/>
            <w:bookmarkEnd w:id="256"/>
          </w:p>
        </w:tc>
        <w:tc>
          <w:tcPr>
            <w:tcW w:w="158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7" w:name="_Toc10783"/>
            <w:bookmarkStart w:id="258" w:name="_Toc19077"/>
            <w:r>
              <w:rPr>
                <w:rFonts w:hint="eastAsia" w:ascii="仿宋" w:hAnsi="仿宋" w:eastAsia="仿宋" w:cs="仿宋"/>
                <w:sz w:val="24"/>
                <w:highlight w:val="none"/>
              </w:rPr>
              <w:t>节能标志认证证书号</w:t>
            </w:r>
            <w:bookmarkEnd w:id="257"/>
            <w:bookmarkEnd w:id="258"/>
          </w:p>
        </w:tc>
        <w:tc>
          <w:tcPr>
            <w:tcW w:w="216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9" w:name="_Toc9317"/>
            <w:bookmarkStart w:id="260" w:name="_Toc24841"/>
            <w:r>
              <w:rPr>
                <w:rFonts w:hint="eastAsia" w:ascii="仿宋" w:hAnsi="仿宋" w:eastAsia="仿宋" w:cs="仿宋"/>
                <w:sz w:val="24"/>
                <w:highlight w:val="none"/>
              </w:rPr>
              <w:t>节能产品认证证书有效截止日期</w:t>
            </w:r>
            <w:bookmarkEnd w:id="259"/>
            <w:bookmarkEnd w:id="26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72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72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72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72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bl>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1" w:name="_Toc16074"/>
      <w:bookmarkStart w:id="262" w:name="_Toc28714"/>
      <w:r>
        <w:rPr>
          <w:rFonts w:hint="eastAsia" w:ascii="仿宋" w:hAnsi="仿宋" w:eastAsia="仿宋" w:cs="仿宋"/>
          <w:sz w:val="24"/>
          <w:highlight w:val="none"/>
        </w:rPr>
        <w:t>注： 1.政府采购强制节能产品根据财政部、国家发展改革委最新公布的节能产品政府采购清单确定。</w:t>
      </w:r>
      <w:bookmarkEnd w:id="261"/>
      <w:bookmarkEnd w:id="262"/>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3" w:name="_Toc15996"/>
      <w:bookmarkStart w:id="264" w:name="_Toc1949"/>
      <w:r>
        <w:rPr>
          <w:rFonts w:hint="eastAsia" w:ascii="仿宋" w:hAnsi="仿宋" w:eastAsia="仿宋" w:cs="仿宋"/>
          <w:sz w:val="24"/>
          <w:highlight w:val="none"/>
        </w:rPr>
        <w:t>2.如所投产品为政府强制采购节能产品，必须按规定格式逐项填写。如所投产品不是政府强制采购节能产品，则不需填写本表。</w:t>
      </w:r>
      <w:bookmarkEnd w:id="263"/>
      <w:bookmarkEnd w:id="264"/>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5" w:name="_Toc15861"/>
      <w:bookmarkStart w:id="266" w:name="_Toc4460"/>
      <w:r>
        <w:rPr>
          <w:rFonts w:hint="eastAsia" w:ascii="仿宋" w:hAnsi="仿宋" w:eastAsia="仿宋" w:cs="仿宋"/>
          <w:sz w:val="24"/>
          <w:highlight w:val="none"/>
        </w:rPr>
        <w:t>3.此表可根据需要同格式扩展。</w:t>
      </w:r>
      <w:bookmarkEnd w:id="265"/>
      <w:bookmarkEnd w:id="266"/>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8"/>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24"/>
          <w:highlight w:val="none"/>
        </w:rPr>
      </w:pPr>
      <w:bookmarkStart w:id="267" w:name="_Toc26487"/>
      <w:bookmarkStart w:id="268" w:name="_Toc16978"/>
      <w:r>
        <w:rPr>
          <w:rFonts w:hint="eastAsia" w:ascii="仿宋" w:hAnsi="仿宋" w:eastAsia="仿宋" w:cs="仿宋"/>
          <w:b/>
          <w:bCs/>
          <w:sz w:val="24"/>
          <w:highlight w:val="none"/>
        </w:rPr>
        <w:t>缴纳中标服务费承诺书</w:t>
      </w:r>
      <w:bookmarkEnd w:id="267"/>
      <w:bookmarkEnd w:id="268"/>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9" w:name="_Toc29070"/>
      <w:bookmarkStart w:id="270" w:name="_Toc7970"/>
      <w:r>
        <w:rPr>
          <w:rFonts w:hint="eastAsia" w:ascii="仿宋" w:hAnsi="仿宋" w:eastAsia="仿宋" w:cs="仿宋"/>
          <w:sz w:val="24"/>
          <w:highlight w:val="none"/>
        </w:rPr>
        <w:t>山东华仁永旺招标有限公司：</w:t>
      </w:r>
      <w:bookmarkEnd w:id="269"/>
      <w:bookmarkEnd w:id="270"/>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1" w:name="_Toc8398"/>
      <w:bookmarkStart w:id="272" w:name="_Toc20018"/>
      <w:r>
        <w:rPr>
          <w:rFonts w:hint="eastAsia" w:ascii="仿宋" w:hAnsi="仿宋" w:eastAsia="仿宋" w:cs="仿宋"/>
          <w:sz w:val="24"/>
          <w:highlight w:val="none"/>
        </w:rPr>
        <w:t>1、我单位承诺，如若我单位在本次（项目名称、项目编号）政府采购项目中确定为</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，中标服务费将按照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规定的计取标准从我单位账户以电汇或经贵方认可的付款方式提交至贵公司指定账户（具体账户详见</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须知）。</w:t>
      </w:r>
      <w:bookmarkEnd w:id="271"/>
      <w:bookmarkEnd w:id="272"/>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3" w:name="_Toc29820"/>
      <w:bookmarkStart w:id="274" w:name="_Toc18016"/>
      <w:r>
        <w:rPr>
          <w:rFonts w:hint="eastAsia" w:ascii="仿宋" w:hAnsi="仿宋" w:eastAsia="仿宋" w:cs="仿宋"/>
          <w:sz w:val="24"/>
          <w:highlight w:val="none"/>
        </w:rPr>
        <w:t>2、我单位承诺将我单位的____________电子邮箱作为接受贵公司关于本项目采购过程中所有澄清、答疑、中标服务费催收、告知函等相关材料的唯一指定邮箱，贵方对该邮箱的送达、告知既视为对于本</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的送达，告知。</w:t>
      </w:r>
      <w:bookmarkEnd w:id="273"/>
      <w:bookmarkEnd w:id="274"/>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5" w:name="_Toc1565"/>
      <w:bookmarkStart w:id="276" w:name="_Toc15655"/>
      <w:r>
        <w:rPr>
          <w:rFonts w:hint="eastAsia" w:ascii="仿宋" w:hAnsi="仿宋" w:eastAsia="仿宋" w:cs="仿宋"/>
          <w:sz w:val="24"/>
          <w:highlight w:val="none"/>
        </w:rPr>
        <w:t>3、我公司承诺在中标公告发布后七个工作日内，向贵方指定账户汇入中标服务费，如未能按期缴纳该中标服务费，视为我公司违约，我公司自愿每日按照中标服务费的千分之三向贵公司支付违约金。</w:t>
      </w:r>
      <w:bookmarkEnd w:id="275"/>
      <w:bookmarkEnd w:id="276"/>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7" w:name="_Toc9966"/>
      <w:bookmarkStart w:id="278" w:name="_Toc24081"/>
      <w:r>
        <w:rPr>
          <w:rFonts w:hint="eastAsia" w:ascii="仿宋" w:hAnsi="仿宋" w:eastAsia="仿宋" w:cs="仿宋"/>
          <w:sz w:val="24"/>
          <w:highlight w:val="none"/>
        </w:rPr>
        <w:t>4、该承诺书系我单位自愿承诺，对因中标服务费所涉纠纷，我方和贵公司双方均认同由贵公司住所地人民法院管辖，且诉讼所产生的诉讼费、律师费、保全费均由违约方承担。</w:t>
      </w:r>
      <w:bookmarkEnd w:id="277"/>
      <w:bookmarkEnd w:id="278"/>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9" w:name="_Toc22995"/>
      <w:bookmarkStart w:id="280" w:name="_Toc30856"/>
      <w:r>
        <w:rPr>
          <w:rFonts w:hint="eastAsia" w:ascii="仿宋" w:hAnsi="仿宋" w:eastAsia="仿宋" w:cs="仿宋"/>
          <w:sz w:val="24"/>
          <w:highlight w:val="none"/>
        </w:rPr>
        <w:t>5、我方递交了本政府采购项目的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即意味着接受本政府采购项目采购文件中关于中标服务费的计费标准和缴纳方式等条款。如我公司未履行本承诺或未按本政府采购项目采购文件中的规定缴纳中标服务费，贵公司及相关部门可以据此作为对我方信用评价的依据。</w:t>
      </w:r>
      <w:bookmarkEnd w:id="279"/>
      <w:bookmarkEnd w:id="280"/>
    </w:p>
    <w:p>
      <w:pPr>
        <w:pStyle w:val="18"/>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8"/>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1" w:name="_Toc19125"/>
      <w:bookmarkStart w:id="282" w:name="_Toc32205"/>
      <w:r>
        <w:rPr>
          <w:rFonts w:hint="eastAsia" w:ascii="仿宋" w:hAnsi="仿宋" w:eastAsia="仿宋" w:cs="仿宋"/>
          <w:sz w:val="24"/>
          <w:highlight w:val="none"/>
          <w:lang w:eastAsia="zh-CN"/>
        </w:rPr>
        <w:t>供应商</w:t>
      </w:r>
      <w:r>
        <w:rPr>
          <w:rFonts w:hint="eastAsia" w:ascii="仿宋" w:hAnsi="仿宋" w:eastAsia="仿宋" w:cs="仿宋"/>
          <w:sz w:val="24"/>
          <w:highlight w:val="none"/>
        </w:rPr>
        <w:t>（盖公章）：____________________________</w:t>
      </w:r>
      <w:bookmarkEnd w:id="281"/>
      <w:bookmarkEnd w:id="282"/>
    </w:p>
    <w:p>
      <w:pPr>
        <w:pStyle w:val="18"/>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3" w:name="_Toc9682"/>
      <w:bookmarkStart w:id="284" w:name="_Toc25575"/>
      <w:r>
        <w:rPr>
          <w:rFonts w:hint="eastAsia" w:ascii="仿宋" w:hAnsi="仿宋" w:eastAsia="仿宋" w:cs="仿宋"/>
          <w:sz w:val="24"/>
          <w:highlight w:val="none"/>
        </w:rPr>
        <w:t>法定代表人（签章或签字）：__________________</w:t>
      </w:r>
      <w:bookmarkEnd w:id="283"/>
      <w:bookmarkEnd w:id="284"/>
    </w:p>
    <w:p>
      <w:pPr>
        <w:pStyle w:val="18"/>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5" w:name="_Toc21530"/>
      <w:bookmarkStart w:id="286" w:name="_Toc19413"/>
      <w:r>
        <w:rPr>
          <w:rFonts w:hint="eastAsia" w:ascii="仿宋" w:hAnsi="仿宋" w:eastAsia="仿宋" w:cs="仿宋"/>
          <w:sz w:val="24"/>
          <w:highlight w:val="none"/>
        </w:rPr>
        <w:t>委托代理人(签字)：_________________</w:t>
      </w:r>
      <w:bookmarkEnd w:id="285"/>
      <w:bookmarkEnd w:id="286"/>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7" w:name="_Toc28586"/>
      <w:bookmarkStart w:id="288" w:name="_Toc4458"/>
      <w:r>
        <w:rPr>
          <w:rFonts w:hint="eastAsia" w:ascii="仿宋" w:hAnsi="仿宋" w:eastAsia="仿宋" w:cs="仿宋"/>
          <w:sz w:val="24"/>
          <w:highlight w:val="none"/>
        </w:rPr>
        <w:t>年月日</w:t>
      </w:r>
      <w:bookmarkEnd w:id="287"/>
      <w:bookmarkEnd w:id="288"/>
    </w:p>
    <w:p>
      <w:pPr>
        <w:rPr>
          <w:rFonts w:hint="eastAsia" w:ascii="仿宋" w:hAnsi="仿宋" w:eastAsia="仿宋" w:cs="仿宋"/>
          <w:highlight w:val="none"/>
        </w:rPr>
      </w:pPr>
      <w:r>
        <w:rPr>
          <w:rFonts w:hint="eastAsia" w:ascii="仿宋" w:hAnsi="仿宋" w:eastAsia="仿宋" w:cs="仿宋"/>
          <w:highlight w:val="none"/>
        </w:rPr>
        <w:br w:type="page"/>
      </w:r>
    </w:p>
    <w:p>
      <w:pPr>
        <w:pStyle w:val="1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bookmarkStart w:id="289" w:name="_Toc28239"/>
      <w:r>
        <w:rPr>
          <w:rFonts w:hint="eastAsia" w:ascii="仿宋" w:hAnsi="仿宋" w:eastAsia="仿宋" w:cs="仿宋"/>
          <w:highlight w:val="none"/>
        </w:rPr>
        <w:t>附件十</w:t>
      </w:r>
      <w:r>
        <w:rPr>
          <w:rFonts w:hint="eastAsia" w:ascii="仿宋" w:hAnsi="仿宋" w:eastAsia="仿宋" w:cs="仿宋"/>
          <w:highlight w:val="none"/>
          <w:lang w:val="en-US" w:eastAsia="zh-CN"/>
        </w:rPr>
        <w:t>六</w:t>
      </w:r>
      <w:bookmarkEnd w:id="289"/>
    </w:p>
    <w:p>
      <w:pPr>
        <w:pStyle w:val="19"/>
        <w:spacing w:line="360" w:lineRule="auto"/>
        <w:ind w:left="0" w:leftChars="0" w:firstLine="0" w:firstLineChars="0"/>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封面及封皮格式：</w:t>
      </w:r>
    </w:p>
    <w:tbl>
      <w:tblPr>
        <w:tblStyle w:val="43"/>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pPr>
              <w:pStyle w:val="3"/>
              <w:spacing w:line="360" w:lineRule="auto"/>
              <w:ind w:left="0" w:leftChars="0" w:firstLine="0" w:firstLineChars="0"/>
              <w:jc w:val="left"/>
              <w:rPr>
                <w:rFonts w:hint="eastAsia" w:ascii="仿宋" w:hAnsi="仿宋" w:eastAsia="仿宋" w:cs="仿宋"/>
                <w:b/>
                <w:sz w:val="30"/>
                <w:highlight w:val="none"/>
                <w:lang w:eastAsia="zh-CN"/>
              </w:rPr>
            </w:pPr>
            <w:r>
              <w:rPr>
                <w:rFonts w:hint="eastAsia" w:ascii="仿宋" w:hAnsi="仿宋" w:eastAsia="仿宋" w:cs="仿宋"/>
                <w:b/>
                <w:sz w:val="30"/>
                <w:highlight w:val="none"/>
                <w:lang w:eastAsia="zh-CN"/>
              </w:rPr>
              <w:t>响应文件</w:t>
            </w:r>
          </w:p>
          <w:p>
            <w:pPr>
              <w:pStyle w:val="3"/>
              <w:spacing w:line="360" w:lineRule="auto"/>
              <w:ind w:left="0" w:leftChars="0" w:firstLine="0" w:firstLineChars="0"/>
              <w:jc w:val="left"/>
              <w:rPr>
                <w:rFonts w:hint="eastAsia" w:ascii="仿宋" w:hAnsi="仿宋" w:eastAsia="仿宋" w:cs="仿宋"/>
                <w:sz w:val="30"/>
                <w:highlight w:val="none"/>
              </w:rPr>
            </w:pPr>
            <w:r>
              <w:rPr>
                <w:rFonts w:hint="eastAsia" w:ascii="仿宋" w:hAnsi="仿宋" w:eastAsia="仿宋" w:cs="仿宋"/>
                <w:b/>
                <w:sz w:val="30"/>
                <w:highlight w:val="none"/>
              </w:rPr>
              <w:t>（正本或副本）</w:t>
            </w:r>
          </w:p>
          <w:p>
            <w:pPr>
              <w:pStyle w:val="3"/>
              <w:spacing w:line="360" w:lineRule="auto"/>
              <w:ind w:left="0" w:leftChars="0" w:firstLine="0" w:firstLineChars="0"/>
              <w:jc w:val="left"/>
              <w:rPr>
                <w:rFonts w:hint="eastAsia" w:ascii="仿宋" w:hAnsi="仿宋" w:eastAsia="仿宋" w:cs="仿宋"/>
                <w:highlight w:val="none"/>
              </w:rPr>
            </w:pP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地址：</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电话：</w:t>
            </w:r>
          </w:p>
          <w:p>
            <w:pPr>
              <w:pStyle w:val="19"/>
              <w:spacing w:line="360" w:lineRule="auto"/>
              <w:ind w:left="0" w:leftChars="0" w:firstLine="0" w:firstLineChars="0"/>
              <w:rPr>
                <w:rFonts w:hint="eastAsia" w:ascii="仿宋" w:hAnsi="仿宋" w:eastAsia="仿宋" w:cs="仿宋"/>
                <w:sz w:val="24"/>
                <w:highlight w:val="none"/>
              </w:rPr>
            </w:pPr>
            <w:r>
              <w:rPr>
                <w:rFonts w:hint="eastAsia" w:ascii="仿宋" w:hAnsi="仿宋" w:eastAsia="仿宋" w:cs="仿宋"/>
                <w:highlight w:val="none"/>
              </w:rPr>
              <w:t>传真：</w:t>
            </w:r>
          </w:p>
        </w:tc>
        <w:tc>
          <w:tcPr>
            <w:tcW w:w="4644" w:type="dxa"/>
          </w:tcPr>
          <w:p>
            <w:pPr>
              <w:pStyle w:val="3"/>
              <w:spacing w:line="360" w:lineRule="auto"/>
              <w:ind w:left="0" w:leftChars="0" w:firstLine="0" w:firstLineChars="0"/>
              <w:jc w:val="left"/>
              <w:rPr>
                <w:rFonts w:hint="eastAsia" w:ascii="仿宋" w:hAnsi="仿宋" w:eastAsia="仿宋" w:cs="仿宋"/>
                <w:b/>
                <w:sz w:val="30"/>
                <w:highlight w:val="none"/>
              </w:rPr>
            </w:pPr>
            <w:r>
              <w:rPr>
                <w:rFonts w:hint="eastAsia" w:ascii="仿宋" w:hAnsi="仿宋" w:eastAsia="仿宋" w:cs="仿宋"/>
                <w:b/>
                <w:sz w:val="30"/>
                <w:highlight w:val="none"/>
              </w:rPr>
              <w:t>资格证明文件</w:t>
            </w:r>
          </w:p>
          <w:p>
            <w:pPr>
              <w:pStyle w:val="3"/>
              <w:spacing w:line="360" w:lineRule="auto"/>
              <w:ind w:left="0" w:leftChars="0" w:firstLine="0" w:firstLineChars="0"/>
              <w:jc w:val="left"/>
              <w:rPr>
                <w:rFonts w:hint="eastAsia" w:ascii="仿宋" w:hAnsi="仿宋" w:eastAsia="仿宋" w:cs="仿宋"/>
                <w:sz w:val="30"/>
                <w:highlight w:val="none"/>
              </w:rPr>
            </w:pPr>
          </w:p>
          <w:p>
            <w:pPr>
              <w:pStyle w:val="3"/>
              <w:spacing w:line="360" w:lineRule="auto"/>
              <w:ind w:left="0" w:leftChars="0" w:firstLine="0" w:firstLineChars="0"/>
              <w:jc w:val="left"/>
              <w:rPr>
                <w:rFonts w:hint="eastAsia" w:ascii="仿宋" w:hAnsi="仿宋" w:eastAsia="仿宋" w:cs="仿宋"/>
                <w:highlight w:val="none"/>
              </w:rPr>
            </w:pP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地址：</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电话：</w:t>
            </w:r>
          </w:p>
          <w:p>
            <w:pPr>
              <w:pStyle w:val="19"/>
              <w:spacing w:line="360" w:lineRule="auto"/>
              <w:ind w:left="0" w:leftChars="0" w:firstLine="0" w:firstLineChars="0"/>
              <w:rPr>
                <w:rFonts w:hint="eastAsia" w:ascii="仿宋" w:hAnsi="仿宋" w:eastAsia="仿宋" w:cs="仿宋"/>
                <w:sz w:val="24"/>
                <w:highlight w:val="none"/>
              </w:rPr>
            </w:pPr>
            <w:r>
              <w:rPr>
                <w:rFonts w:hint="eastAsia" w:ascii="仿宋" w:hAnsi="仿宋" w:eastAsia="仿宋" w:cs="仿宋"/>
                <w:highlight w:val="none"/>
              </w:rPr>
              <w:t>传真：</w:t>
            </w:r>
          </w:p>
        </w:tc>
      </w:tr>
    </w:tbl>
    <w:p>
      <w:pPr>
        <w:pStyle w:val="19"/>
        <w:spacing w:line="360" w:lineRule="auto"/>
        <w:ind w:left="219" w:leftChars="47" w:hanging="120" w:hangingChars="50"/>
        <w:rPr>
          <w:rFonts w:hint="eastAsia" w:ascii="仿宋" w:hAnsi="仿宋" w:eastAsia="仿宋" w:cs="仿宋"/>
          <w:sz w:val="24"/>
          <w:highlight w:val="none"/>
        </w:rPr>
      </w:pPr>
    </w:p>
    <w:tbl>
      <w:tblPr>
        <w:tblStyle w:val="43"/>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pPr>
              <w:pStyle w:val="3"/>
              <w:spacing w:line="360" w:lineRule="auto"/>
              <w:ind w:left="0" w:leftChars="0" w:firstLine="0" w:firstLineChars="0"/>
              <w:rPr>
                <w:rFonts w:hint="eastAsia" w:ascii="仿宋" w:hAnsi="仿宋" w:eastAsia="仿宋" w:cs="仿宋"/>
                <w:sz w:val="30"/>
                <w:highlight w:val="none"/>
                <w:lang w:eastAsia="zh-CN"/>
              </w:rPr>
            </w:pPr>
            <w:r>
              <w:rPr>
                <w:rFonts w:hint="eastAsia" w:ascii="仿宋" w:hAnsi="仿宋" w:eastAsia="仿宋" w:cs="仿宋"/>
                <w:b/>
                <w:sz w:val="30"/>
                <w:highlight w:val="none"/>
                <w:lang w:eastAsia="zh-CN"/>
              </w:rPr>
              <w:t>报价一览表</w:t>
            </w:r>
          </w:p>
          <w:p>
            <w:pPr>
              <w:pStyle w:val="3"/>
              <w:spacing w:line="360" w:lineRule="auto"/>
              <w:ind w:left="0" w:leftChars="0" w:firstLine="0" w:firstLineChars="0"/>
              <w:jc w:val="left"/>
              <w:rPr>
                <w:rFonts w:hint="eastAsia" w:ascii="仿宋" w:hAnsi="仿宋" w:eastAsia="仿宋" w:cs="仿宋"/>
                <w:highlight w:val="none"/>
              </w:rPr>
            </w:pP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地址：</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电话：</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传真：</w:t>
            </w:r>
          </w:p>
        </w:tc>
        <w:tc>
          <w:tcPr>
            <w:tcW w:w="4644" w:type="dxa"/>
          </w:tcPr>
          <w:p>
            <w:pPr>
              <w:pStyle w:val="3"/>
              <w:spacing w:line="360" w:lineRule="auto"/>
              <w:ind w:left="0" w:leftChars="0" w:firstLine="0" w:firstLineChars="0"/>
              <w:rPr>
                <w:rFonts w:hint="eastAsia" w:ascii="仿宋" w:hAnsi="仿宋" w:eastAsia="仿宋" w:cs="仿宋"/>
                <w:sz w:val="30"/>
                <w:highlight w:val="none"/>
              </w:rPr>
            </w:pPr>
            <w:r>
              <w:rPr>
                <w:rFonts w:hint="eastAsia" w:ascii="仿宋" w:hAnsi="仿宋" w:eastAsia="仿宋" w:cs="仿宋"/>
                <w:b/>
                <w:sz w:val="30"/>
                <w:highlight w:val="none"/>
              </w:rPr>
              <w:t>电子文件</w:t>
            </w:r>
          </w:p>
          <w:p>
            <w:pPr>
              <w:pStyle w:val="3"/>
              <w:spacing w:line="360" w:lineRule="auto"/>
              <w:ind w:left="0" w:leftChars="0" w:firstLine="0" w:firstLineChars="0"/>
              <w:jc w:val="left"/>
              <w:rPr>
                <w:rFonts w:hint="eastAsia" w:ascii="仿宋" w:hAnsi="仿宋" w:eastAsia="仿宋" w:cs="仿宋"/>
                <w:highlight w:val="none"/>
              </w:rPr>
            </w:pP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地址：</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电话：</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传真：</w:t>
            </w:r>
          </w:p>
        </w:tc>
      </w:tr>
    </w:tbl>
    <w:p>
      <w:pPr>
        <w:pStyle w:val="3"/>
        <w:spacing w:line="360" w:lineRule="auto"/>
        <w:ind w:left="0" w:leftChars="0" w:firstLine="0" w:firstLineChars="0"/>
        <w:rPr>
          <w:rFonts w:hint="eastAsia" w:ascii="仿宋" w:hAnsi="仿宋" w:eastAsia="仿宋" w:cs="仿宋"/>
          <w:b/>
          <w:bCs/>
          <w:sz w:val="30"/>
          <w:szCs w:val="30"/>
          <w:highlight w:val="none"/>
        </w:rPr>
      </w:pPr>
    </w:p>
    <w:p>
      <w:pPr>
        <w:pStyle w:val="3"/>
        <w:spacing w:line="360" w:lineRule="auto"/>
        <w:ind w:left="0" w:leftChars="0" w:firstLine="0" w:firstLineChars="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封口格式：</w:t>
      </w:r>
    </w:p>
    <w:tbl>
      <w:tblPr>
        <w:tblStyle w:val="43"/>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87" w:type="dxa"/>
            <w:vAlign w:val="center"/>
          </w:tcPr>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………………………于</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rPr>
              <w:t xml:space="preserve">  月  日  ：  之前不准启封（公章）…………………</w:t>
            </w:r>
          </w:p>
        </w:tc>
      </w:tr>
    </w:tbl>
    <w:p>
      <w:pPr>
        <w:pStyle w:val="3"/>
        <w:spacing w:line="360" w:lineRule="auto"/>
        <w:ind w:left="0" w:leftChars="0" w:firstLine="0" w:firstLineChars="0"/>
        <w:rPr>
          <w:rFonts w:hint="eastAsia" w:ascii="仿宋" w:hAnsi="仿宋" w:eastAsia="仿宋" w:cs="仿宋"/>
          <w:bCs/>
          <w:sz w:val="32"/>
          <w:highlight w:val="none"/>
        </w:rPr>
      </w:pPr>
    </w:p>
    <w:sectPr>
      <w:pgSz w:w="11907" w:h="16840"/>
      <w:pgMar w:top="1593" w:right="1417" w:bottom="1417" w:left="1417" w:header="851" w:footer="850" w:gutter="0"/>
      <w:cols w:space="0" w:num="1"/>
      <w:rtlGutter w:val="0"/>
      <w:docGrid w:type="lines" w:linePitch="29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FKai-SB">
    <w:panose1 w:val="03000509000000000000"/>
    <w:charset w:val="88"/>
    <w:family w:val="script"/>
    <w:pitch w:val="default"/>
    <w:sig w:usb0="00000003" w:usb1="082E0000" w:usb2="00000016" w:usb3="00000000" w:csb0="00100001" w:csb1="00000000"/>
  </w:font>
  <w:font w:name="Arial Unicode MS">
    <w:altName w:val="宋体"/>
    <w:panose1 w:val="020B0604020202020204"/>
    <w:charset w:val="86"/>
    <w:family w:val="swiss"/>
    <w:pitch w:val="default"/>
    <w:sig w:usb0="00000000" w:usb1="00000000" w:usb2="0000003F" w:usb3="00000000" w:csb0="603F01FF" w:csb1="FFFF0000"/>
  </w:font>
  <w:font w:name="幼圆">
    <w:altName w:val="宋体"/>
    <w:panose1 w:val="0201050906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2FF" w:usb1="400004FF" w:usb2="0000000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7"/>
      </w:rPr>
    </w:pPr>
    <w:r>
      <w:fldChar w:fldCharType="begin"/>
    </w:r>
    <w:r>
      <w:rPr>
        <w:rStyle w:val="47"/>
      </w:rPr>
      <w:instrText xml:space="preserve">PAGE  </w:instrText>
    </w:r>
    <w:r>
      <w:fldChar w:fldCharType="separate"/>
    </w:r>
    <w:r>
      <w:rPr>
        <w:rStyle w:val="47"/>
      </w:rPr>
      <w:t>5</w:t>
    </w:r>
    <w:r>
      <w:fldChar w:fldCharType="end"/>
    </w:r>
    <w:r>
      <w:rPr>
        <w:rStyle w:val="47"/>
        <w:rFonts w:hint="eastAsia"/>
      </w:rPr>
      <w:t xml:space="preserve">                                              </w:t>
    </w:r>
  </w:p>
  <w:p>
    <w:pPr>
      <w:pStyle w:val="26"/>
      <w:ind w:right="360" w:firstLine="360"/>
      <w:jc w:val="center"/>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7"/>
      </w:rPr>
    </w:pPr>
    <w:r>
      <w:fldChar w:fldCharType="begin"/>
    </w:r>
    <w:r>
      <w:rPr>
        <w:rStyle w:val="47"/>
      </w:rPr>
      <w:instrText xml:space="preserve">PAGE  </w:instrText>
    </w:r>
    <w:r>
      <w:fldChar w:fldCharType="end"/>
    </w:r>
  </w:p>
  <w:p>
    <w:pPr>
      <w:pStyle w:val="2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32"/>
        <w:snapToGrid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spacing w:line="360" w:lineRule="auto"/>
      <w:jc w:val="right"/>
      <w:rPr>
        <w:rFonts w:asciiTheme="minorEastAsia" w:hAnsiTheme="minorEastAsia" w:eastAsiaTheme="minorEastAsia"/>
      </w:rPr>
    </w:pPr>
    <w:r>
      <w:rPr>
        <w:rFonts w:asciiTheme="minorEastAsia" w:hAnsiTheme="minorEastAsia" w:eastAsiaTheme="minorEastAsia"/>
      </w:rPr>
      <w:t>山东华仁永旺招标有限公司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3FC330"/>
    <w:multiLevelType w:val="singleLevel"/>
    <w:tmpl w:val="B93FC330"/>
    <w:lvl w:ilvl="0" w:tentative="0">
      <w:start w:val="1"/>
      <w:numFmt w:val="decimal"/>
      <w:suff w:val="nothing"/>
      <w:lvlText w:val="%1、"/>
      <w:lvlJc w:val="left"/>
    </w:lvl>
  </w:abstractNum>
  <w:abstractNum w:abstractNumId="1">
    <w:nsid w:val="1B071995"/>
    <w:multiLevelType w:val="multilevel"/>
    <w:tmpl w:val="1B071995"/>
    <w:lvl w:ilvl="0" w:tentative="0">
      <w:start w:val="1"/>
      <w:numFmt w:val="japaneseCounting"/>
      <w:lvlText w:val="第%1章"/>
      <w:lvlJc w:val="left"/>
      <w:pPr>
        <w:tabs>
          <w:tab w:val="left" w:pos="1080"/>
        </w:tabs>
        <w:ind w:left="1080" w:hanging="1080"/>
      </w:pPr>
      <w:rPr>
        <w:rFonts w:hint="eastAsia"/>
      </w:rPr>
    </w:lvl>
    <w:lvl w:ilvl="1" w:tentative="0">
      <w:start w:val="1"/>
      <w:numFmt w:val="japaneseCounting"/>
      <w:lvlText w:val="%2、"/>
      <w:lvlJc w:val="left"/>
      <w:pPr>
        <w:tabs>
          <w:tab w:val="left" w:pos="1140"/>
        </w:tabs>
        <w:ind w:left="1140" w:hanging="720"/>
      </w:pPr>
      <w:rPr>
        <w:rFonts w:hint="eastAsia"/>
      </w:rPr>
    </w:lvl>
    <w:lvl w:ilvl="2" w:tentative="0">
      <w:start w:val="1"/>
      <w:numFmt w:val="decimal"/>
      <w:lvlText w:val="%3."/>
      <w:lvlJc w:val="left"/>
      <w:pPr>
        <w:tabs>
          <w:tab w:val="left" w:pos="1590"/>
        </w:tabs>
        <w:ind w:left="1590" w:hanging="750"/>
      </w:pPr>
      <w:rPr>
        <w:rFonts w:hint="eastAsia"/>
      </w:rPr>
    </w:lvl>
    <w:lvl w:ilvl="3" w:tentative="0">
      <w:start w:val="1"/>
      <w:numFmt w:val="decimal"/>
      <w:lvlText w:val="%4."/>
      <w:lvlJc w:val="left"/>
      <w:pPr>
        <w:tabs>
          <w:tab w:val="left" w:pos="1680"/>
        </w:tabs>
        <w:ind w:left="1680" w:hanging="420"/>
      </w:pPr>
    </w:lvl>
    <w:lvl w:ilvl="4" w:tentative="0">
      <w:start w:val="1"/>
      <w:numFmt w:val="decimal"/>
      <w:lvlText w:val="%5)"/>
      <w:lvlJc w:val="left"/>
      <w:pPr>
        <w:tabs>
          <w:tab w:val="left" w:pos="2040"/>
        </w:tabs>
        <w:ind w:left="2040" w:hanging="360"/>
      </w:pPr>
      <w:rPr>
        <w:rFonts w:hint="eastAsia"/>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30719B5"/>
    <w:multiLevelType w:val="multilevel"/>
    <w:tmpl w:val="730719B5"/>
    <w:lvl w:ilvl="0" w:tentative="0">
      <w:start w:val="1"/>
      <w:numFmt w:val="decimal"/>
      <w:pStyle w:val="93"/>
      <w:suff w:val="space"/>
      <w:lvlText w:val="第%1章"/>
      <w:lvlJc w:val="left"/>
      <w:pPr>
        <w:ind w:left="0" w:firstLine="0"/>
      </w:pPr>
      <w:rPr>
        <w:rFonts w:hint="eastAsia" w:ascii="黑体" w:eastAsia="黑体"/>
        <w:b w:val="0"/>
        <w:i w:val="0"/>
      </w:rPr>
    </w:lvl>
    <w:lvl w:ilvl="1" w:tentative="0">
      <w:start w:val="1"/>
      <w:numFmt w:val="decimal"/>
      <w:pStyle w:val="94"/>
      <w:suff w:val="space"/>
      <w:lvlText w:val="%1.%2"/>
      <w:lvlJc w:val="left"/>
      <w:pPr>
        <w:ind w:left="-1701" w:firstLine="0"/>
      </w:pPr>
      <w:rPr>
        <w:b w:val="0"/>
        <w:bCs w:val="0"/>
        <w:i w:val="0"/>
        <w:iCs w:val="0"/>
        <w:caps w:val="0"/>
        <w:smallCaps w:val="0"/>
        <w:strike w:val="0"/>
        <w:dstrike w:val="0"/>
        <w:vanish w:val="0"/>
        <w:color w:val="000000"/>
        <w:spacing w:val="0"/>
        <w:position w:val="0"/>
        <w:u w:val="none"/>
        <w:vertAlign w:val="baseline"/>
        <w14:ligatures w14:val="none"/>
        <w14:numForm w14:val="default"/>
        <w14:numSpacing w14:val="default"/>
      </w:rPr>
    </w:lvl>
    <w:lvl w:ilvl="2" w:tentative="0">
      <w:start w:val="1"/>
      <w:numFmt w:val="decimal"/>
      <w:pStyle w:val="95"/>
      <w:suff w:val="space"/>
      <w:lvlText w:val="%1.%2.%3"/>
      <w:lvlJc w:val="left"/>
      <w:pPr>
        <w:ind w:left="-2410" w:firstLine="0"/>
      </w:pPr>
      <w:rPr>
        <w:rFonts w:hint="eastAsia" w:ascii="黑体" w:eastAsia="黑体"/>
        <w:b w:val="0"/>
        <w:i w:val="0"/>
      </w:rPr>
    </w:lvl>
    <w:lvl w:ilvl="3" w:tentative="0">
      <w:start w:val="1"/>
      <w:numFmt w:val="decimal"/>
      <w:pStyle w:val="96"/>
      <w:suff w:val="space"/>
      <w:lvlText w:val="%1.%2.%3.%4"/>
      <w:lvlJc w:val="left"/>
      <w:pPr>
        <w:ind w:left="142" w:firstLine="0"/>
      </w:pPr>
      <w:rPr>
        <w:rFonts w:hint="eastAsia" w:ascii="黑体" w:eastAsia="黑体"/>
        <w:b w:val="0"/>
        <w:i w:val="0"/>
      </w:rPr>
    </w:lvl>
    <w:lvl w:ilvl="4" w:tentative="0">
      <w:start w:val="1"/>
      <w:numFmt w:val="decimal"/>
      <w:pStyle w:val="97"/>
      <w:suff w:val="space"/>
      <w:lvlText w:val="%1.%2.%3.%4.%5"/>
      <w:lvlJc w:val="left"/>
      <w:pPr>
        <w:ind w:left="-1330" w:firstLine="0"/>
      </w:pPr>
      <w:rPr>
        <w:rFonts w:hint="eastAsia" w:ascii="黑体" w:eastAsia="黑体"/>
        <w:b w:val="0"/>
        <w:i w:val="0"/>
      </w:rPr>
    </w:lvl>
    <w:lvl w:ilvl="5" w:tentative="0">
      <w:start w:val="1"/>
      <w:numFmt w:val="none"/>
      <w:suff w:val="nothing"/>
      <w:lvlText w:val=""/>
      <w:lvlJc w:val="left"/>
      <w:pPr>
        <w:ind w:left="-2410" w:firstLine="0"/>
      </w:pPr>
      <w:rPr>
        <w:rFonts w:hint="eastAsia"/>
      </w:rPr>
    </w:lvl>
    <w:lvl w:ilvl="6" w:tentative="0">
      <w:start w:val="1"/>
      <w:numFmt w:val="none"/>
      <w:suff w:val="nothing"/>
      <w:lvlText w:val=""/>
      <w:lvlJc w:val="left"/>
      <w:pPr>
        <w:ind w:left="-2410" w:firstLine="0"/>
      </w:pPr>
      <w:rPr>
        <w:rFonts w:hint="eastAsia"/>
      </w:rPr>
    </w:lvl>
    <w:lvl w:ilvl="7" w:tentative="0">
      <w:start w:val="1"/>
      <w:numFmt w:val="none"/>
      <w:suff w:val="nothing"/>
      <w:lvlText w:val=""/>
      <w:lvlJc w:val="left"/>
      <w:pPr>
        <w:ind w:left="-2410" w:firstLine="0"/>
      </w:pPr>
      <w:rPr>
        <w:rFonts w:hint="eastAsia"/>
      </w:rPr>
    </w:lvl>
    <w:lvl w:ilvl="8" w:tentative="0">
      <w:start w:val="1"/>
      <w:numFmt w:val="none"/>
      <w:suff w:val="nothing"/>
      <w:lvlText w:val=""/>
      <w:lvlJc w:val="left"/>
      <w:pPr>
        <w:ind w:left="-241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420"/>
  <w:drawingGridHorizontalSpacing w:val="191"/>
  <w:drawingGridVerticalSpacing w:val="14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F329E7"/>
    <w:rsid w:val="00000D3C"/>
    <w:rsid w:val="00003250"/>
    <w:rsid w:val="00003C29"/>
    <w:rsid w:val="000049CE"/>
    <w:rsid w:val="00005A1F"/>
    <w:rsid w:val="00005EDA"/>
    <w:rsid w:val="000135C1"/>
    <w:rsid w:val="0001384E"/>
    <w:rsid w:val="00013D4F"/>
    <w:rsid w:val="00014982"/>
    <w:rsid w:val="00015E19"/>
    <w:rsid w:val="000160CD"/>
    <w:rsid w:val="000169C8"/>
    <w:rsid w:val="00016FC1"/>
    <w:rsid w:val="000170C3"/>
    <w:rsid w:val="00017E83"/>
    <w:rsid w:val="00020408"/>
    <w:rsid w:val="0002091A"/>
    <w:rsid w:val="00020C7E"/>
    <w:rsid w:val="00020D5B"/>
    <w:rsid w:val="00021E77"/>
    <w:rsid w:val="00022321"/>
    <w:rsid w:val="00022B71"/>
    <w:rsid w:val="000233C6"/>
    <w:rsid w:val="00023B53"/>
    <w:rsid w:val="000257E7"/>
    <w:rsid w:val="000258E9"/>
    <w:rsid w:val="00025A2F"/>
    <w:rsid w:val="00027883"/>
    <w:rsid w:val="0003035A"/>
    <w:rsid w:val="000304D9"/>
    <w:rsid w:val="000317AD"/>
    <w:rsid w:val="00033D09"/>
    <w:rsid w:val="000348E7"/>
    <w:rsid w:val="00034F0A"/>
    <w:rsid w:val="00037217"/>
    <w:rsid w:val="000372A6"/>
    <w:rsid w:val="00037522"/>
    <w:rsid w:val="00037603"/>
    <w:rsid w:val="00041850"/>
    <w:rsid w:val="00041A64"/>
    <w:rsid w:val="00042E7C"/>
    <w:rsid w:val="00043201"/>
    <w:rsid w:val="000439B6"/>
    <w:rsid w:val="0004635E"/>
    <w:rsid w:val="00046794"/>
    <w:rsid w:val="00046A5D"/>
    <w:rsid w:val="0004726F"/>
    <w:rsid w:val="00047910"/>
    <w:rsid w:val="00047EA9"/>
    <w:rsid w:val="00051250"/>
    <w:rsid w:val="00052380"/>
    <w:rsid w:val="00052825"/>
    <w:rsid w:val="00053597"/>
    <w:rsid w:val="00053EE6"/>
    <w:rsid w:val="00053F4A"/>
    <w:rsid w:val="00054847"/>
    <w:rsid w:val="000552F3"/>
    <w:rsid w:val="00055C1C"/>
    <w:rsid w:val="00055EB6"/>
    <w:rsid w:val="000560C0"/>
    <w:rsid w:val="00056564"/>
    <w:rsid w:val="00056F09"/>
    <w:rsid w:val="00056FD1"/>
    <w:rsid w:val="0006078C"/>
    <w:rsid w:val="000615A7"/>
    <w:rsid w:val="00062243"/>
    <w:rsid w:val="00063B34"/>
    <w:rsid w:val="00064CF4"/>
    <w:rsid w:val="0007291E"/>
    <w:rsid w:val="00072D5E"/>
    <w:rsid w:val="000737F1"/>
    <w:rsid w:val="00073D8D"/>
    <w:rsid w:val="00074BA7"/>
    <w:rsid w:val="00075193"/>
    <w:rsid w:val="0007534F"/>
    <w:rsid w:val="000806AB"/>
    <w:rsid w:val="0008115B"/>
    <w:rsid w:val="00081AEC"/>
    <w:rsid w:val="00081FB4"/>
    <w:rsid w:val="000824F1"/>
    <w:rsid w:val="00082BCC"/>
    <w:rsid w:val="0008314E"/>
    <w:rsid w:val="000847BB"/>
    <w:rsid w:val="00084CFC"/>
    <w:rsid w:val="00085723"/>
    <w:rsid w:val="000879D4"/>
    <w:rsid w:val="00090227"/>
    <w:rsid w:val="00090315"/>
    <w:rsid w:val="00090719"/>
    <w:rsid w:val="0009149C"/>
    <w:rsid w:val="00091AEF"/>
    <w:rsid w:val="00092271"/>
    <w:rsid w:val="00092ED7"/>
    <w:rsid w:val="00095C57"/>
    <w:rsid w:val="0009624A"/>
    <w:rsid w:val="000975CD"/>
    <w:rsid w:val="000A0247"/>
    <w:rsid w:val="000A1BB5"/>
    <w:rsid w:val="000A23BE"/>
    <w:rsid w:val="000A387F"/>
    <w:rsid w:val="000A4A33"/>
    <w:rsid w:val="000A5B9B"/>
    <w:rsid w:val="000A62B5"/>
    <w:rsid w:val="000A6C67"/>
    <w:rsid w:val="000A7BAB"/>
    <w:rsid w:val="000B042B"/>
    <w:rsid w:val="000B191E"/>
    <w:rsid w:val="000B2727"/>
    <w:rsid w:val="000B327D"/>
    <w:rsid w:val="000B44EE"/>
    <w:rsid w:val="000B49CE"/>
    <w:rsid w:val="000B4A6E"/>
    <w:rsid w:val="000B4B1E"/>
    <w:rsid w:val="000B61B5"/>
    <w:rsid w:val="000B6549"/>
    <w:rsid w:val="000B688D"/>
    <w:rsid w:val="000B6CFE"/>
    <w:rsid w:val="000B7118"/>
    <w:rsid w:val="000C0333"/>
    <w:rsid w:val="000C1D11"/>
    <w:rsid w:val="000C1EDA"/>
    <w:rsid w:val="000C31A6"/>
    <w:rsid w:val="000C645E"/>
    <w:rsid w:val="000C758F"/>
    <w:rsid w:val="000C763C"/>
    <w:rsid w:val="000D1A10"/>
    <w:rsid w:val="000D1BAE"/>
    <w:rsid w:val="000D2114"/>
    <w:rsid w:val="000D307D"/>
    <w:rsid w:val="000D3368"/>
    <w:rsid w:val="000D483E"/>
    <w:rsid w:val="000D68D4"/>
    <w:rsid w:val="000D76C8"/>
    <w:rsid w:val="000D7C31"/>
    <w:rsid w:val="000E0489"/>
    <w:rsid w:val="000E0C77"/>
    <w:rsid w:val="000E0E66"/>
    <w:rsid w:val="000E0E67"/>
    <w:rsid w:val="000E133A"/>
    <w:rsid w:val="000E1D9B"/>
    <w:rsid w:val="000E36FB"/>
    <w:rsid w:val="000E5C48"/>
    <w:rsid w:val="000E77D2"/>
    <w:rsid w:val="000E7EB1"/>
    <w:rsid w:val="000F0C8C"/>
    <w:rsid w:val="000F1F9B"/>
    <w:rsid w:val="000F2A91"/>
    <w:rsid w:val="000F2C27"/>
    <w:rsid w:val="000F2F1E"/>
    <w:rsid w:val="000F3E71"/>
    <w:rsid w:val="000F4A32"/>
    <w:rsid w:val="000F4A7F"/>
    <w:rsid w:val="000F51B7"/>
    <w:rsid w:val="00100036"/>
    <w:rsid w:val="00100E43"/>
    <w:rsid w:val="00101131"/>
    <w:rsid w:val="00101E49"/>
    <w:rsid w:val="001026A7"/>
    <w:rsid w:val="00103CEF"/>
    <w:rsid w:val="00103D5C"/>
    <w:rsid w:val="001047FA"/>
    <w:rsid w:val="00105B9B"/>
    <w:rsid w:val="001069DE"/>
    <w:rsid w:val="001101D3"/>
    <w:rsid w:val="00112840"/>
    <w:rsid w:val="00112AE7"/>
    <w:rsid w:val="00113056"/>
    <w:rsid w:val="001131EF"/>
    <w:rsid w:val="00113525"/>
    <w:rsid w:val="00113617"/>
    <w:rsid w:val="0011394B"/>
    <w:rsid w:val="00114822"/>
    <w:rsid w:val="00114A85"/>
    <w:rsid w:val="001171A2"/>
    <w:rsid w:val="00121081"/>
    <w:rsid w:val="0012206D"/>
    <w:rsid w:val="00122D3E"/>
    <w:rsid w:val="001263B6"/>
    <w:rsid w:val="00126724"/>
    <w:rsid w:val="00127CD5"/>
    <w:rsid w:val="00131670"/>
    <w:rsid w:val="00131FC5"/>
    <w:rsid w:val="00132F22"/>
    <w:rsid w:val="001330F1"/>
    <w:rsid w:val="00134DAC"/>
    <w:rsid w:val="001361FC"/>
    <w:rsid w:val="00136367"/>
    <w:rsid w:val="00136A3E"/>
    <w:rsid w:val="001373D3"/>
    <w:rsid w:val="001419BE"/>
    <w:rsid w:val="001424A8"/>
    <w:rsid w:val="00144512"/>
    <w:rsid w:val="00144F9D"/>
    <w:rsid w:val="00145801"/>
    <w:rsid w:val="00146765"/>
    <w:rsid w:val="00146836"/>
    <w:rsid w:val="00146D9E"/>
    <w:rsid w:val="001516CE"/>
    <w:rsid w:val="00151DAB"/>
    <w:rsid w:val="00152904"/>
    <w:rsid w:val="0015601A"/>
    <w:rsid w:val="001569AA"/>
    <w:rsid w:val="00156BF3"/>
    <w:rsid w:val="00156DA0"/>
    <w:rsid w:val="00156DDE"/>
    <w:rsid w:val="001570B4"/>
    <w:rsid w:val="00160795"/>
    <w:rsid w:val="001618E8"/>
    <w:rsid w:val="00162CCE"/>
    <w:rsid w:val="00163000"/>
    <w:rsid w:val="00163DCD"/>
    <w:rsid w:val="00164CEC"/>
    <w:rsid w:val="00165E89"/>
    <w:rsid w:val="0016691C"/>
    <w:rsid w:val="00166C52"/>
    <w:rsid w:val="00166F50"/>
    <w:rsid w:val="0016702B"/>
    <w:rsid w:val="00167B32"/>
    <w:rsid w:val="0017004E"/>
    <w:rsid w:val="001716BE"/>
    <w:rsid w:val="00171CFE"/>
    <w:rsid w:val="001723F0"/>
    <w:rsid w:val="00172951"/>
    <w:rsid w:val="00174084"/>
    <w:rsid w:val="00174508"/>
    <w:rsid w:val="00174D62"/>
    <w:rsid w:val="00176B0E"/>
    <w:rsid w:val="0017710F"/>
    <w:rsid w:val="00177758"/>
    <w:rsid w:val="0018029E"/>
    <w:rsid w:val="00180EE5"/>
    <w:rsid w:val="001815D2"/>
    <w:rsid w:val="00182337"/>
    <w:rsid w:val="001828D3"/>
    <w:rsid w:val="00183A77"/>
    <w:rsid w:val="001853F1"/>
    <w:rsid w:val="001859DA"/>
    <w:rsid w:val="00185A56"/>
    <w:rsid w:val="001860D4"/>
    <w:rsid w:val="00186819"/>
    <w:rsid w:val="0018700F"/>
    <w:rsid w:val="00187507"/>
    <w:rsid w:val="001907F6"/>
    <w:rsid w:val="00190A4F"/>
    <w:rsid w:val="001910A5"/>
    <w:rsid w:val="001911FD"/>
    <w:rsid w:val="00191858"/>
    <w:rsid w:val="0019185C"/>
    <w:rsid w:val="0019282E"/>
    <w:rsid w:val="00192F96"/>
    <w:rsid w:val="001938CC"/>
    <w:rsid w:val="00193C3D"/>
    <w:rsid w:val="001949D0"/>
    <w:rsid w:val="00194C7A"/>
    <w:rsid w:val="00194F2A"/>
    <w:rsid w:val="00197DD4"/>
    <w:rsid w:val="001A0D78"/>
    <w:rsid w:val="001A1DA7"/>
    <w:rsid w:val="001A2587"/>
    <w:rsid w:val="001A3AAC"/>
    <w:rsid w:val="001A6BC5"/>
    <w:rsid w:val="001A7024"/>
    <w:rsid w:val="001A721D"/>
    <w:rsid w:val="001A7251"/>
    <w:rsid w:val="001A773B"/>
    <w:rsid w:val="001B1626"/>
    <w:rsid w:val="001B20A7"/>
    <w:rsid w:val="001B3AFD"/>
    <w:rsid w:val="001B48F1"/>
    <w:rsid w:val="001B4AA4"/>
    <w:rsid w:val="001B54FB"/>
    <w:rsid w:val="001B6540"/>
    <w:rsid w:val="001B662F"/>
    <w:rsid w:val="001B762A"/>
    <w:rsid w:val="001C1D6F"/>
    <w:rsid w:val="001C3411"/>
    <w:rsid w:val="001C4870"/>
    <w:rsid w:val="001C6297"/>
    <w:rsid w:val="001C7768"/>
    <w:rsid w:val="001C7FDE"/>
    <w:rsid w:val="001D05EF"/>
    <w:rsid w:val="001D0910"/>
    <w:rsid w:val="001D2326"/>
    <w:rsid w:val="001D2525"/>
    <w:rsid w:val="001D2FAB"/>
    <w:rsid w:val="001D3C12"/>
    <w:rsid w:val="001D459A"/>
    <w:rsid w:val="001D5488"/>
    <w:rsid w:val="001D5E95"/>
    <w:rsid w:val="001D662D"/>
    <w:rsid w:val="001D674F"/>
    <w:rsid w:val="001D6833"/>
    <w:rsid w:val="001D73C9"/>
    <w:rsid w:val="001D7DBC"/>
    <w:rsid w:val="001D7E9E"/>
    <w:rsid w:val="001E0F86"/>
    <w:rsid w:val="001E116F"/>
    <w:rsid w:val="001E2939"/>
    <w:rsid w:val="001E30E7"/>
    <w:rsid w:val="001E52BF"/>
    <w:rsid w:val="001E5DF4"/>
    <w:rsid w:val="001E764D"/>
    <w:rsid w:val="001E7E9E"/>
    <w:rsid w:val="001F2425"/>
    <w:rsid w:val="00200023"/>
    <w:rsid w:val="00200AA8"/>
    <w:rsid w:val="002018DD"/>
    <w:rsid w:val="0020296A"/>
    <w:rsid w:val="002033E9"/>
    <w:rsid w:val="00203406"/>
    <w:rsid w:val="002037F7"/>
    <w:rsid w:val="00205B94"/>
    <w:rsid w:val="002062B6"/>
    <w:rsid w:val="00207247"/>
    <w:rsid w:val="00207BAD"/>
    <w:rsid w:val="00210BFD"/>
    <w:rsid w:val="002119A5"/>
    <w:rsid w:val="00215AA2"/>
    <w:rsid w:val="00215F19"/>
    <w:rsid w:val="002164C4"/>
    <w:rsid w:val="00216E40"/>
    <w:rsid w:val="00217177"/>
    <w:rsid w:val="002174B0"/>
    <w:rsid w:val="002212F1"/>
    <w:rsid w:val="00222EE1"/>
    <w:rsid w:val="002232C0"/>
    <w:rsid w:val="002233DC"/>
    <w:rsid w:val="0022487B"/>
    <w:rsid w:val="00225B2E"/>
    <w:rsid w:val="00225CB8"/>
    <w:rsid w:val="0022633B"/>
    <w:rsid w:val="00226FF7"/>
    <w:rsid w:val="00230168"/>
    <w:rsid w:val="00231736"/>
    <w:rsid w:val="0023176B"/>
    <w:rsid w:val="002319D8"/>
    <w:rsid w:val="00231FDA"/>
    <w:rsid w:val="00233276"/>
    <w:rsid w:val="002336C1"/>
    <w:rsid w:val="00233E61"/>
    <w:rsid w:val="002341EA"/>
    <w:rsid w:val="00234668"/>
    <w:rsid w:val="00236A66"/>
    <w:rsid w:val="00236BC2"/>
    <w:rsid w:val="00236CE3"/>
    <w:rsid w:val="00237BC7"/>
    <w:rsid w:val="002400F1"/>
    <w:rsid w:val="002401A2"/>
    <w:rsid w:val="002401EA"/>
    <w:rsid w:val="00240E76"/>
    <w:rsid w:val="00242458"/>
    <w:rsid w:val="00243484"/>
    <w:rsid w:val="00244679"/>
    <w:rsid w:val="00244CF6"/>
    <w:rsid w:val="00245402"/>
    <w:rsid w:val="00245619"/>
    <w:rsid w:val="00245A26"/>
    <w:rsid w:val="00245E0D"/>
    <w:rsid w:val="0024711D"/>
    <w:rsid w:val="002502F9"/>
    <w:rsid w:val="0025292F"/>
    <w:rsid w:val="0025390E"/>
    <w:rsid w:val="00255613"/>
    <w:rsid w:val="0025596F"/>
    <w:rsid w:val="002567D2"/>
    <w:rsid w:val="00260E41"/>
    <w:rsid w:val="00261CCB"/>
    <w:rsid w:val="00262501"/>
    <w:rsid w:val="002627F3"/>
    <w:rsid w:val="002640C9"/>
    <w:rsid w:val="0026456F"/>
    <w:rsid w:val="002647C9"/>
    <w:rsid w:val="00266233"/>
    <w:rsid w:val="00266B70"/>
    <w:rsid w:val="00272ED3"/>
    <w:rsid w:val="0027303F"/>
    <w:rsid w:val="00273BAD"/>
    <w:rsid w:val="00276481"/>
    <w:rsid w:val="0028005E"/>
    <w:rsid w:val="0028053E"/>
    <w:rsid w:val="00282DF2"/>
    <w:rsid w:val="00282FB5"/>
    <w:rsid w:val="002840DE"/>
    <w:rsid w:val="00284837"/>
    <w:rsid w:val="00285E1F"/>
    <w:rsid w:val="002869E9"/>
    <w:rsid w:val="002875FA"/>
    <w:rsid w:val="00290667"/>
    <w:rsid w:val="00291074"/>
    <w:rsid w:val="00292A94"/>
    <w:rsid w:val="00293BE6"/>
    <w:rsid w:val="00294022"/>
    <w:rsid w:val="0029619C"/>
    <w:rsid w:val="00296ABE"/>
    <w:rsid w:val="00296EC3"/>
    <w:rsid w:val="0029780B"/>
    <w:rsid w:val="002A0615"/>
    <w:rsid w:val="002A08A1"/>
    <w:rsid w:val="002A2217"/>
    <w:rsid w:val="002A2A0A"/>
    <w:rsid w:val="002A3134"/>
    <w:rsid w:val="002A3A78"/>
    <w:rsid w:val="002A4055"/>
    <w:rsid w:val="002A4205"/>
    <w:rsid w:val="002A5187"/>
    <w:rsid w:val="002A55ED"/>
    <w:rsid w:val="002A57B7"/>
    <w:rsid w:val="002A699B"/>
    <w:rsid w:val="002B0004"/>
    <w:rsid w:val="002B0B78"/>
    <w:rsid w:val="002B0D64"/>
    <w:rsid w:val="002B1052"/>
    <w:rsid w:val="002B1577"/>
    <w:rsid w:val="002B49B7"/>
    <w:rsid w:val="002B50FF"/>
    <w:rsid w:val="002B57C6"/>
    <w:rsid w:val="002B62A5"/>
    <w:rsid w:val="002B67CE"/>
    <w:rsid w:val="002B6C79"/>
    <w:rsid w:val="002B71D9"/>
    <w:rsid w:val="002C0C0F"/>
    <w:rsid w:val="002C0D30"/>
    <w:rsid w:val="002C27E8"/>
    <w:rsid w:val="002C29AF"/>
    <w:rsid w:val="002C396D"/>
    <w:rsid w:val="002C4346"/>
    <w:rsid w:val="002C5555"/>
    <w:rsid w:val="002C58A0"/>
    <w:rsid w:val="002C6C42"/>
    <w:rsid w:val="002D031C"/>
    <w:rsid w:val="002D06CC"/>
    <w:rsid w:val="002D1374"/>
    <w:rsid w:val="002D196F"/>
    <w:rsid w:val="002D1C46"/>
    <w:rsid w:val="002D2854"/>
    <w:rsid w:val="002D3024"/>
    <w:rsid w:val="002D325F"/>
    <w:rsid w:val="002D39A8"/>
    <w:rsid w:val="002D3A55"/>
    <w:rsid w:val="002D40D1"/>
    <w:rsid w:val="002D4494"/>
    <w:rsid w:val="002D5239"/>
    <w:rsid w:val="002D5AF8"/>
    <w:rsid w:val="002D6152"/>
    <w:rsid w:val="002D6FE1"/>
    <w:rsid w:val="002D7F12"/>
    <w:rsid w:val="002E028D"/>
    <w:rsid w:val="002E03CF"/>
    <w:rsid w:val="002E2B31"/>
    <w:rsid w:val="002E3942"/>
    <w:rsid w:val="002E4196"/>
    <w:rsid w:val="002E5FDC"/>
    <w:rsid w:val="002E61B2"/>
    <w:rsid w:val="002E6604"/>
    <w:rsid w:val="002F0B17"/>
    <w:rsid w:val="002F2B8A"/>
    <w:rsid w:val="002F34DF"/>
    <w:rsid w:val="002F3B43"/>
    <w:rsid w:val="002F3C3D"/>
    <w:rsid w:val="002F4003"/>
    <w:rsid w:val="002F4474"/>
    <w:rsid w:val="002F4F99"/>
    <w:rsid w:val="002F53E4"/>
    <w:rsid w:val="002F5751"/>
    <w:rsid w:val="002F59CD"/>
    <w:rsid w:val="002F657F"/>
    <w:rsid w:val="002F6A09"/>
    <w:rsid w:val="00300487"/>
    <w:rsid w:val="00301339"/>
    <w:rsid w:val="003015DB"/>
    <w:rsid w:val="003015EB"/>
    <w:rsid w:val="00302255"/>
    <w:rsid w:val="00303B04"/>
    <w:rsid w:val="00303DD0"/>
    <w:rsid w:val="00304F5D"/>
    <w:rsid w:val="00305F4D"/>
    <w:rsid w:val="00307445"/>
    <w:rsid w:val="003109E3"/>
    <w:rsid w:val="00312A43"/>
    <w:rsid w:val="00313B55"/>
    <w:rsid w:val="003162B8"/>
    <w:rsid w:val="0031637C"/>
    <w:rsid w:val="003212A5"/>
    <w:rsid w:val="00322036"/>
    <w:rsid w:val="00322C30"/>
    <w:rsid w:val="00322D40"/>
    <w:rsid w:val="00323481"/>
    <w:rsid w:val="00323A4D"/>
    <w:rsid w:val="0032620E"/>
    <w:rsid w:val="0032669D"/>
    <w:rsid w:val="003269CB"/>
    <w:rsid w:val="003277B1"/>
    <w:rsid w:val="003310A4"/>
    <w:rsid w:val="00331708"/>
    <w:rsid w:val="00331BEE"/>
    <w:rsid w:val="00331C68"/>
    <w:rsid w:val="00331DDB"/>
    <w:rsid w:val="003347A8"/>
    <w:rsid w:val="0033614C"/>
    <w:rsid w:val="00337845"/>
    <w:rsid w:val="00337BFF"/>
    <w:rsid w:val="00337D80"/>
    <w:rsid w:val="00340D05"/>
    <w:rsid w:val="00341380"/>
    <w:rsid w:val="00342C9E"/>
    <w:rsid w:val="00343D23"/>
    <w:rsid w:val="003442E3"/>
    <w:rsid w:val="003505B8"/>
    <w:rsid w:val="0035078F"/>
    <w:rsid w:val="003523FE"/>
    <w:rsid w:val="003525B6"/>
    <w:rsid w:val="0035444C"/>
    <w:rsid w:val="00354540"/>
    <w:rsid w:val="00354A8F"/>
    <w:rsid w:val="00354BA6"/>
    <w:rsid w:val="003572B7"/>
    <w:rsid w:val="0035772D"/>
    <w:rsid w:val="00360D48"/>
    <w:rsid w:val="003613F7"/>
    <w:rsid w:val="00361772"/>
    <w:rsid w:val="0036212E"/>
    <w:rsid w:val="00362342"/>
    <w:rsid w:val="00362BDC"/>
    <w:rsid w:val="00363062"/>
    <w:rsid w:val="00363DE3"/>
    <w:rsid w:val="00364315"/>
    <w:rsid w:val="00365019"/>
    <w:rsid w:val="003651BC"/>
    <w:rsid w:val="003652F0"/>
    <w:rsid w:val="0036535E"/>
    <w:rsid w:val="003662C7"/>
    <w:rsid w:val="0036688C"/>
    <w:rsid w:val="00366C9B"/>
    <w:rsid w:val="00367510"/>
    <w:rsid w:val="00367754"/>
    <w:rsid w:val="003714A4"/>
    <w:rsid w:val="0037212F"/>
    <w:rsid w:val="003723BE"/>
    <w:rsid w:val="0037256D"/>
    <w:rsid w:val="00374896"/>
    <w:rsid w:val="00375125"/>
    <w:rsid w:val="00375521"/>
    <w:rsid w:val="0037610D"/>
    <w:rsid w:val="003761DB"/>
    <w:rsid w:val="003762CF"/>
    <w:rsid w:val="00377949"/>
    <w:rsid w:val="00380D89"/>
    <w:rsid w:val="003819DE"/>
    <w:rsid w:val="0038283F"/>
    <w:rsid w:val="003830DB"/>
    <w:rsid w:val="00383364"/>
    <w:rsid w:val="00383636"/>
    <w:rsid w:val="00384458"/>
    <w:rsid w:val="00385990"/>
    <w:rsid w:val="00385ACB"/>
    <w:rsid w:val="00385B6C"/>
    <w:rsid w:val="003873EF"/>
    <w:rsid w:val="0039172E"/>
    <w:rsid w:val="0039267B"/>
    <w:rsid w:val="00392CF6"/>
    <w:rsid w:val="00393EC4"/>
    <w:rsid w:val="00393ED2"/>
    <w:rsid w:val="00395FB0"/>
    <w:rsid w:val="00396CA1"/>
    <w:rsid w:val="00397696"/>
    <w:rsid w:val="00397CFE"/>
    <w:rsid w:val="00397D90"/>
    <w:rsid w:val="003A0707"/>
    <w:rsid w:val="003A1BD8"/>
    <w:rsid w:val="003A1C55"/>
    <w:rsid w:val="003A24D1"/>
    <w:rsid w:val="003A3085"/>
    <w:rsid w:val="003A30BB"/>
    <w:rsid w:val="003A4924"/>
    <w:rsid w:val="003A4A27"/>
    <w:rsid w:val="003A4B96"/>
    <w:rsid w:val="003A5635"/>
    <w:rsid w:val="003A589D"/>
    <w:rsid w:val="003A5A2F"/>
    <w:rsid w:val="003A6174"/>
    <w:rsid w:val="003A70BC"/>
    <w:rsid w:val="003A7139"/>
    <w:rsid w:val="003A71F9"/>
    <w:rsid w:val="003A7D64"/>
    <w:rsid w:val="003A7D79"/>
    <w:rsid w:val="003A7F0B"/>
    <w:rsid w:val="003B0160"/>
    <w:rsid w:val="003B0F25"/>
    <w:rsid w:val="003B23E7"/>
    <w:rsid w:val="003B282A"/>
    <w:rsid w:val="003B484D"/>
    <w:rsid w:val="003B5F11"/>
    <w:rsid w:val="003B6012"/>
    <w:rsid w:val="003B6646"/>
    <w:rsid w:val="003B68FE"/>
    <w:rsid w:val="003B7101"/>
    <w:rsid w:val="003C03CB"/>
    <w:rsid w:val="003C0E7E"/>
    <w:rsid w:val="003C24D9"/>
    <w:rsid w:val="003C2B54"/>
    <w:rsid w:val="003C2CB9"/>
    <w:rsid w:val="003C2FB4"/>
    <w:rsid w:val="003C3176"/>
    <w:rsid w:val="003C4481"/>
    <w:rsid w:val="003C63C6"/>
    <w:rsid w:val="003C7536"/>
    <w:rsid w:val="003D1066"/>
    <w:rsid w:val="003D2D8A"/>
    <w:rsid w:val="003D3BD5"/>
    <w:rsid w:val="003D4E3C"/>
    <w:rsid w:val="003D767F"/>
    <w:rsid w:val="003D7E46"/>
    <w:rsid w:val="003E0EDC"/>
    <w:rsid w:val="003E10FA"/>
    <w:rsid w:val="003E1B59"/>
    <w:rsid w:val="003E2628"/>
    <w:rsid w:val="003E3BF7"/>
    <w:rsid w:val="003E5C8D"/>
    <w:rsid w:val="003E65EA"/>
    <w:rsid w:val="003E6BED"/>
    <w:rsid w:val="003E7036"/>
    <w:rsid w:val="003E7EB9"/>
    <w:rsid w:val="003F0549"/>
    <w:rsid w:val="003F190A"/>
    <w:rsid w:val="003F26E6"/>
    <w:rsid w:val="003F2BB2"/>
    <w:rsid w:val="003F3A52"/>
    <w:rsid w:val="003F3E2C"/>
    <w:rsid w:val="003F3E49"/>
    <w:rsid w:val="003F4109"/>
    <w:rsid w:val="003F479C"/>
    <w:rsid w:val="003F64C9"/>
    <w:rsid w:val="003F6B21"/>
    <w:rsid w:val="00400A5D"/>
    <w:rsid w:val="004022CA"/>
    <w:rsid w:val="00402C5D"/>
    <w:rsid w:val="004036D6"/>
    <w:rsid w:val="004042C7"/>
    <w:rsid w:val="004043A3"/>
    <w:rsid w:val="0040500F"/>
    <w:rsid w:val="0040610F"/>
    <w:rsid w:val="00406EA4"/>
    <w:rsid w:val="0040718A"/>
    <w:rsid w:val="0041122E"/>
    <w:rsid w:val="0041150F"/>
    <w:rsid w:val="0041333E"/>
    <w:rsid w:val="00413E68"/>
    <w:rsid w:val="004147E7"/>
    <w:rsid w:val="004202E8"/>
    <w:rsid w:val="0042336F"/>
    <w:rsid w:val="00426784"/>
    <w:rsid w:val="00426C15"/>
    <w:rsid w:val="00427752"/>
    <w:rsid w:val="004339CA"/>
    <w:rsid w:val="00434A7C"/>
    <w:rsid w:val="0043627B"/>
    <w:rsid w:val="004368F4"/>
    <w:rsid w:val="0043735C"/>
    <w:rsid w:val="004400DC"/>
    <w:rsid w:val="00440568"/>
    <w:rsid w:val="004408B9"/>
    <w:rsid w:val="00440A67"/>
    <w:rsid w:val="00440E28"/>
    <w:rsid w:val="00441819"/>
    <w:rsid w:val="00441BAC"/>
    <w:rsid w:val="00442BF8"/>
    <w:rsid w:val="00445DEE"/>
    <w:rsid w:val="00446FEF"/>
    <w:rsid w:val="004470E9"/>
    <w:rsid w:val="004476A1"/>
    <w:rsid w:val="0045159A"/>
    <w:rsid w:val="00451806"/>
    <w:rsid w:val="00452DE2"/>
    <w:rsid w:val="00452F13"/>
    <w:rsid w:val="004536D3"/>
    <w:rsid w:val="00455205"/>
    <w:rsid w:val="00455783"/>
    <w:rsid w:val="00455C17"/>
    <w:rsid w:val="0045628C"/>
    <w:rsid w:val="00460097"/>
    <w:rsid w:val="0046096E"/>
    <w:rsid w:val="00461130"/>
    <w:rsid w:val="004617E1"/>
    <w:rsid w:val="004629D3"/>
    <w:rsid w:val="00462A98"/>
    <w:rsid w:val="00462ED2"/>
    <w:rsid w:val="0046545B"/>
    <w:rsid w:val="00465A4D"/>
    <w:rsid w:val="004661D0"/>
    <w:rsid w:val="00467C95"/>
    <w:rsid w:val="00470DB6"/>
    <w:rsid w:val="00471E10"/>
    <w:rsid w:val="00471E1D"/>
    <w:rsid w:val="00471ED1"/>
    <w:rsid w:val="00472A88"/>
    <w:rsid w:val="0047337B"/>
    <w:rsid w:val="0047559E"/>
    <w:rsid w:val="00476D80"/>
    <w:rsid w:val="00476EE9"/>
    <w:rsid w:val="004800E2"/>
    <w:rsid w:val="0048031D"/>
    <w:rsid w:val="00481170"/>
    <w:rsid w:val="0048143B"/>
    <w:rsid w:val="00481660"/>
    <w:rsid w:val="00481DCE"/>
    <w:rsid w:val="00483EB8"/>
    <w:rsid w:val="00485416"/>
    <w:rsid w:val="004859DA"/>
    <w:rsid w:val="004869F3"/>
    <w:rsid w:val="004876F7"/>
    <w:rsid w:val="0049002C"/>
    <w:rsid w:val="0049044C"/>
    <w:rsid w:val="00494461"/>
    <w:rsid w:val="004944B2"/>
    <w:rsid w:val="00494A7C"/>
    <w:rsid w:val="0049589D"/>
    <w:rsid w:val="00496175"/>
    <w:rsid w:val="004967DB"/>
    <w:rsid w:val="00496910"/>
    <w:rsid w:val="00496FD8"/>
    <w:rsid w:val="00497842"/>
    <w:rsid w:val="00497A20"/>
    <w:rsid w:val="00497C87"/>
    <w:rsid w:val="004A1C58"/>
    <w:rsid w:val="004A21C2"/>
    <w:rsid w:val="004A264B"/>
    <w:rsid w:val="004A2D6C"/>
    <w:rsid w:val="004A34C3"/>
    <w:rsid w:val="004A3CC2"/>
    <w:rsid w:val="004A3F98"/>
    <w:rsid w:val="004A461C"/>
    <w:rsid w:val="004A4C06"/>
    <w:rsid w:val="004A566F"/>
    <w:rsid w:val="004A6B0E"/>
    <w:rsid w:val="004A74C0"/>
    <w:rsid w:val="004B25C3"/>
    <w:rsid w:val="004B2A6D"/>
    <w:rsid w:val="004B33F5"/>
    <w:rsid w:val="004B3D5B"/>
    <w:rsid w:val="004B3D66"/>
    <w:rsid w:val="004B4182"/>
    <w:rsid w:val="004B4DAE"/>
    <w:rsid w:val="004B5FE4"/>
    <w:rsid w:val="004B662E"/>
    <w:rsid w:val="004B6931"/>
    <w:rsid w:val="004B7299"/>
    <w:rsid w:val="004B761F"/>
    <w:rsid w:val="004B7CAB"/>
    <w:rsid w:val="004C06C0"/>
    <w:rsid w:val="004C0CEC"/>
    <w:rsid w:val="004C13D4"/>
    <w:rsid w:val="004C171D"/>
    <w:rsid w:val="004C24CA"/>
    <w:rsid w:val="004C2E04"/>
    <w:rsid w:val="004C3A6C"/>
    <w:rsid w:val="004C3DF5"/>
    <w:rsid w:val="004C449D"/>
    <w:rsid w:val="004C4E2D"/>
    <w:rsid w:val="004C6CA5"/>
    <w:rsid w:val="004C6EB1"/>
    <w:rsid w:val="004C7BEC"/>
    <w:rsid w:val="004D00CC"/>
    <w:rsid w:val="004D055D"/>
    <w:rsid w:val="004D0778"/>
    <w:rsid w:val="004D1FFC"/>
    <w:rsid w:val="004D247F"/>
    <w:rsid w:val="004D2F18"/>
    <w:rsid w:val="004D3244"/>
    <w:rsid w:val="004D4755"/>
    <w:rsid w:val="004D5860"/>
    <w:rsid w:val="004D59A1"/>
    <w:rsid w:val="004D5A70"/>
    <w:rsid w:val="004D5F74"/>
    <w:rsid w:val="004D6099"/>
    <w:rsid w:val="004D6E1E"/>
    <w:rsid w:val="004E2141"/>
    <w:rsid w:val="004E23B2"/>
    <w:rsid w:val="004E2532"/>
    <w:rsid w:val="004E3421"/>
    <w:rsid w:val="004E54E4"/>
    <w:rsid w:val="004E6D7E"/>
    <w:rsid w:val="004E73B5"/>
    <w:rsid w:val="004F0FC5"/>
    <w:rsid w:val="004F13A3"/>
    <w:rsid w:val="004F27AC"/>
    <w:rsid w:val="004F389C"/>
    <w:rsid w:val="004F49E6"/>
    <w:rsid w:val="004F5CFD"/>
    <w:rsid w:val="004F6238"/>
    <w:rsid w:val="004F6402"/>
    <w:rsid w:val="00500633"/>
    <w:rsid w:val="005035BF"/>
    <w:rsid w:val="00503692"/>
    <w:rsid w:val="005037E2"/>
    <w:rsid w:val="00503E4F"/>
    <w:rsid w:val="00505707"/>
    <w:rsid w:val="00506A20"/>
    <w:rsid w:val="0050727F"/>
    <w:rsid w:val="00507C4C"/>
    <w:rsid w:val="00510317"/>
    <w:rsid w:val="00510A68"/>
    <w:rsid w:val="00510B11"/>
    <w:rsid w:val="00511278"/>
    <w:rsid w:val="00511BA3"/>
    <w:rsid w:val="005122B4"/>
    <w:rsid w:val="00513143"/>
    <w:rsid w:val="00513379"/>
    <w:rsid w:val="00513EFC"/>
    <w:rsid w:val="0051408A"/>
    <w:rsid w:val="00514646"/>
    <w:rsid w:val="00514A4B"/>
    <w:rsid w:val="00515783"/>
    <w:rsid w:val="005160B8"/>
    <w:rsid w:val="00517A76"/>
    <w:rsid w:val="00517D0F"/>
    <w:rsid w:val="0052071B"/>
    <w:rsid w:val="0052071C"/>
    <w:rsid w:val="005213B2"/>
    <w:rsid w:val="005217E0"/>
    <w:rsid w:val="0052200F"/>
    <w:rsid w:val="00523ADC"/>
    <w:rsid w:val="00524C2A"/>
    <w:rsid w:val="00530CEE"/>
    <w:rsid w:val="00531736"/>
    <w:rsid w:val="005317CA"/>
    <w:rsid w:val="00531CD7"/>
    <w:rsid w:val="00532648"/>
    <w:rsid w:val="00535877"/>
    <w:rsid w:val="00535B08"/>
    <w:rsid w:val="00537022"/>
    <w:rsid w:val="00540FF6"/>
    <w:rsid w:val="00541268"/>
    <w:rsid w:val="00541833"/>
    <w:rsid w:val="00542CC7"/>
    <w:rsid w:val="005432D9"/>
    <w:rsid w:val="0054411F"/>
    <w:rsid w:val="00544313"/>
    <w:rsid w:val="005443C7"/>
    <w:rsid w:val="00544AF7"/>
    <w:rsid w:val="00546F53"/>
    <w:rsid w:val="00547E0F"/>
    <w:rsid w:val="005503D3"/>
    <w:rsid w:val="005505B3"/>
    <w:rsid w:val="00550B3F"/>
    <w:rsid w:val="005510D3"/>
    <w:rsid w:val="005521B9"/>
    <w:rsid w:val="00553220"/>
    <w:rsid w:val="00555EB5"/>
    <w:rsid w:val="00556B22"/>
    <w:rsid w:val="005575A3"/>
    <w:rsid w:val="00557AD8"/>
    <w:rsid w:val="00557C20"/>
    <w:rsid w:val="005603A2"/>
    <w:rsid w:val="005622ED"/>
    <w:rsid w:val="00563C92"/>
    <w:rsid w:val="00563FBF"/>
    <w:rsid w:val="005641A0"/>
    <w:rsid w:val="00564EE3"/>
    <w:rsid w:val="00566C91"/>
    <w:rsid w:val="00567D29"/>
    <w:rsid w:val="00567F29"/>
    <w:rsid w:val="00573AB5"/>
    <w:rsid w:val="00574EF5"/>
    <w:rsid w:val="00575598"/>
    <w:rsid w:val="00575BB2"/>
    <w:rsid w:val="00575DD7"/>
    <w:rsid w:val="00575FE5"/>
    <w:rsid w:val="005769BB"/>
    <w:rsid w:val="00577675"/>
    <w:rsid w:val="005776A1"/>
    <w:rsid w:val="00582688"/>
    <w:rsid w:val="00583563"/>
    <w:rsid w:val="005852CE"/>
    <w:rsid w:val="005855B9"/>
    <w:rsid w:val="00585674"/>
    <w:rsid w:val="00585FBC"/>
    <w:rsid w:val="0058732B"/>
    <w:rsid w:val="00587417"/>
    <w:rsid w:val="00587452"/>
    <w:rsid w:val="00587705"/>
    <w:rsid w:val="00587D14"/>
    <w:rsid w:val="00587E55"/>
    <w:rsid w:val="00587E97"/>
    <w:rsid w:val="00587F39"/>
    <w:rsid w:val="0059134B"/>
    <w:rsid w:val="005920C5"/>
    <w:rsid w:val="005922CC"/>
    <w:rsid w:val="0059398F"/>
    <w:rsid w:val="00595584"/>
    <w:rsid w:val="00596579"/>
    <w:rsid w:val="005974AF"/>
    <w:rsid w:val="005A0390"/>
    <w:rsid w:val="005A05C6"/>
    <w:rsid w:val="005A1802"/>
    <w:rsid w:val="005A185B"/>
    <w:rsid w:val="005A471C"/>
    <w:rsid w:val="005A5653"/>
    <w:rsid w:val="005B0A09"/>
    <w:rsid w:val="005B12DB"/>
    <w:rsid w:val="005B1617"/>
    <w:rsid w:val="005B2416"/>
    <w:rsid w:val="005B2FC0"/>
    <w:rsid w:val="005B2FC5"/>
    <w:rsid w:val="005B37AC"/>
    <w:rsid w:val="005B37F0"/>
    <w:rsid w:val="005B3AB8"/>
    <w:rsid w:val="005B3DD2"/>
    <w:rsid w:val="005B44CB"/>
    <w:rsid w:val="005B7059"/>
    <w:rsid w:val="005C0BAF"/>
    <w:rsid w:val="005C0E23"/>
    <w:rsid w:val="005C225E"/>
    <w:rsid w:val="005C3CFE"/>
    <w:rsid w:val="005C407C"/>
    <w:rsid w:val="005C41B8"/>
    <w:rsid w:val="005C5240"/>
    <w:rsid w:val="005C536C"/>
    <w:rsid w:val="005C62FD"/>
    <w:rsid w:val="005C64C6"/>
    <w:rsid w:val="005C6C10"/>
    <w:rsid w:val="005D057C"/>
    <w:rsid w:val="005D1F3C"/>
    <w:rsid w:val="005D36A8"/>
    <w:rsid w:val="005D41F9"/>
    <w:rsid w:val="005D4CEE"/>
    <w:rsid w:val="005D4FC5"/>
    <w:rsid w:val="005D4FE1"/>
    <w:rsid w:val="005D5BDA"/>
    <w:rsid w:val="005D718A"/>
    <w:rsid w:val="005D75D3"/>
    <w:rsid w:val="005E151C"/>
    <w:rsid w:val="005E2036"/>
    <w:rsid w:val="005E2E67"/>
    <w:rsid w:val="005E3ADA"/>
    <w:rsid w:val="005E3C8A"/>
    <w:rsid w:val="005E4DBB"/>
    <w:rsid w:val="005E4E20"/>
    <w:rsid w:val="005E50CD"/>
    <w:rsid w:val="005E5F61"/>
    <w:rsid w:val="005E5F77"/>
    <w:rsid w:val="005E5F91"/>
    <w:rsid w:val="005E741E"/>
    <w:rsid w:val="005F005F"/>
    <w:rsid w:val="005F027F"/>
    <w:rsid w:val="005F064B"/>
    <w:rsid w:val="005F0A41"/>
    <w:rsid w:val="005F14D3"/>
    <w:rsid w:val="005F167E"/>
    <w:rsid w:val="005F16B3"/>
    <w:rsid w:val="005F1C5E"/>
    <w:rsid w:val="005F2A53"/>
    <w:rsid w:val="005F3540"/>
    <w:rsid w:val="005F39E0"/>
    <w:rsid w:val="005F4B59"/>
    <w:rsid w:val="005F4B5C"/>
    <w:rsid w:val="005F4E25"/>
    <w:rsid w:val="006003CE"/>
    <w:rsid w:val="0060063C"/>
    <w:rsid w:val="00600BFA"/>
    <w:rsid w:val="00600C03"/>
    <w:rsid w:val="0060111E"/>
    <w:rsid w:val="0060141B"/>
    <w:rsid w:val="00601903"/>
    <w:rsid w:val="00602160"/>
    <w:rsid w:val="00604872"/>
    <w:rsid w:val="00604EC0"/>
    <w:rsid w:val="00605125"/>
    <w:rsid w:val="00606038"/>
    <w:rsid w:val="00606647"/>
    <w:rsid w:val="00607A7A"/>
    <w:rsid w:val="00610A2C"/>
    <w:rsid w:val="006123D7"/>
    <w:rsid w:val="00612ECD"/>
    <w:rsid w:val="00614186"/>
    <w:rsid w:val="0061657E"/>
    <w:rsid w:val="00616C81"/>
    <w:rsid w:val="00622587"/>
    <w:rsid w:val="006236BC"/>
    <w:rsid w:val="00623ACA"/>
    <w:rsid w:val="0062548B"/>
    <w:rsid w:val="00625A45"/>
    <w:rsid w:val="0062651E"/>
    <w:rsid w:val="00627795"/>
    <w:rsid w:val="00630959"/>
    <w:rsid w:val="00632768"/>
    <w:rsid w:val="006329CF"/>
    <w:rsid w:val="006338F1"/>
    <w:rsid w:val="00633DCB"/>
    <w:rsid w:val="00636D78"/>
    <w:rsid w:val="0063769B"/>
    <w:rsid w:val="0064024B"/>
    <w:rsid w:val="00640702"/>
    <w:rsid w:val="00640EB0"/>
    <w:rsid w:val="00641903"/>
    <w:rsid w:val="0064249E"/>
    <w:rsid w:val="00642BB4"/>
    <w:rsid w:val="0064337A"/>
    <w:rsid w:val="00643C01"/>
    <w:rsid w:val="006443D0"/>
    <w:rsid w:val="00644412"/>
    <w:rsid w:val="00645157"/>
    <w:rsid w:val="006453DC"/>
    <w:rsid w:val="00645501"/>
    <w:rsid w:val="0064579A"/>
    <w:rsid w:val="0064784C"/>
    <w:rsid w:val="00647D4A"/>
    <w:rsid w:val="00647D78"/>
    <w:rsid w:val="00647E03"/>
    <w:rsid w:val="00650029"/>
    <w:rsid w:val="00650B74"/>
    <w:rsid w:val="00651893"/>
    <w:rsid w:val="00652858"/>
    <w:rsid w:val="00652D5C"/>
    <w:rsid w:val="0065332A"/>
    <w:rsid w:val="006534D0"/>
    <w:rsid w:val="00655259"/>
    <w:rsid w:val="006568A7"/>
    <w:rsid w:val="0065759F"/>
    <w:rsid w:val="00657D42"/>
    <w:rsid w:val="0066302A"/>
    <w:rsid w:val="00663DD2"/>
    <w:rsid w:val="00665D7D"/>
    <w:rsid w:val="00666671"/>
    <w:rsid w:val="00666883"/>
    <w:rsid w:val="006704E6"/>
    <w:rsid w:val="00670645"/>
    <w:rsid w:val="00673022"/>
    <w:rsid w:val="00673BFE"/>
    <w:rsid w:val="0067502A"/>
    <w:rsid w:val="00675D5B"/>
    <w:rsid w:val="00675DF9"/>
    <w:rsid w:val="00676677"/>
    <w:rsid w:val="00676C62"/>
    <w:rsid w:val="00677D3D"/>
    <w:rsid w:val="00680A1B"/>
    <w:rsid w:val="006818BA"/>
    <w:rsid w:val="00681921"/>
    <w:rsid w:val="006834D9"/>
    <w:rsid w:val="00683AE0"/>
    <w:rsid w:val="00684DC0"/>
    <w:rsid w:val="00685AB7"/>
    <w:rsid w:val="0068645D"/>
    <w:rsid w:val="006874B3"/>
    <w:rsid w:val="006879B0"/>
    <w:rsid w:val="006905D0"/>
    <w:rsid w:val="006926A3"/>
    <w:rsid w:val="0069300C"/>
    <w:rsid w:val="00694BB0"/>
    <w:rsid w:val="0069553C"/>
    <w:rsid w:val="00695677"/>
    <w:rsid w:val="00695711"/>
    <w:rsid w:val="00695BA5"/>
    <w:rsid w:val="00696352"/>
    <w:rsid w:val="0069663B"/>
    <w:rsid w:val="006A056B"/>
    <w:rsid w:val="006A0A8C"/>
    <w:rsid w:val="006A0F44"/>
    <w:rsid w:val="006A24D9"/>
    <w:rsid w:val="006A2AE9"/>
    <w:rsid w:val="006A2B02"/>
    <w:rsid w:val="006A3820"/>
    <w:rsid w:val="006A4242"/>
    <w:rsid w:val="006A434F"/>
    <w:rsid w:val="006A4EB7"/>
    <w:rsid w:val="006A51C1"/>
    <w:rsid w:val="006A655A"/>
    <w:rsid w:val="006A7A19"/>
    <w:rsid w:val="006B09D0"/>
    <w:rsid w:val="006B0B70"/>
    <w:rsid w:val="006B0D3C"/>
    <w:rsid w:val="006B194D"/>
    <w:rsid w:val="006B1C19"/>
    <w:rsid w:val="006B3332"/>
    <w:rsid w:val="006B433E"/>
    <w:rsid w:val="006B4BDA"/>
    <w:rsid w:val="006B5541"/>
    <w:rsid w:val="006B5A4A"/>
    <w:rsid w:val="006B652B"/>
    <w:rsid w:val="006B6F46"/>
    <w:rsid w:val="006B7ABC"/>
    <w:rsid w:val="006B7C1D"/>
    <w:rsid w:val="006B7E1D"/>
    <w:rsid w:val="006C0AEB"/>
    <w:rsid w:val="006C2F21"/>
    <w:rsid w:val="006C3883"/>
    <w:rsid w:val="006C3C21"/>
    <w:rsid w:val="006C4EAA"/>
    <w:rsid w:val="006C4FFD"/>
    <w:rsid w:val="006C5147"/>
    <w:rsid w:val="006C6243"/>
    <w:rsid w:val="006C6413"/>
    <w:rsid w:val="006C65EF"/>
    <w:rsid w:val="006C689C"/>
    <w:rsid w:val="006C7856"/>
    <w:rsid w:val="006C7FB4"/>
    <w:rsid w:val="006D1073"/>
    <w:rsid w:val="006D1773"/>
    <w:rsid w:val="006D2032"/>
    <w:rsid w:val="006D2149"/>
    <w:rsid w:val="006D33F3"/>
    <w:rsid w:val="006D38F6"/>
    <w:rsid w:val="006D5C8E"/>
    <w:rsid w:val="006D6403"/>
    <w:rsid w:val="006D7059"/>
    <w:rsid w:val="006D7791"/>
    <w:rsid w:val="006D77D9"/>
    <w:rsid w:val="006D7BC8"/>
    <w:rsid w:val="006E0212"/>
    <w:rsid w:val="006E068C"/>
    <w:rsid w:val="006E0B41"/>
    <w:rsid w:val="006E72A1"/>
    <w:rsid w:val="006F08F4"/>
    <w:rsid w:val="006F0EA2"/>
    <w:rsid w:val="006F1915"/>
    <w:rsid w:val="006F22E0"/>
    <w:rsid w:val="006F2D0D"/>
    <w:rsid w:val="006F2E82"/>
    <w:rsid w:val="006F3290"/>
    <w:rsid w:val="006F3371"/>
    <w:rsid w:val="006F4C8C"/>
    <w:rsid w:val="006F63E7"/>
    <w:rsid w:val="006F6BFA"/>
    <w:rsid w:val="006F770B"/>
    <w:rsid w:val="006F79D4"/>
    <w:rsid w:val="007010FB"/>
    <w:rsid w:val="00701910"/>
    <w:rsid w:val="00702A5E"/>
    <w:rsid w:val="00702C51"/>
    <w:rsid w:val="00703895"/>
    <w:rsid w:val="007054F2"/>
    <w:rsid w:val="007055A6"/>
    <w:rsid w:val="00705B03"/>
    <w:rsid w:val="00707273"/>
    <w:rsid w:val="007104C7"/>
    <w:rsid w:val="007105DA"/>
    <w:rsid w:val="00712D37"/>
    <w:rsid w:val="007136EF"/>
    <w:rsid w:val="00714197"/>
    <w:rsid w:val="00715010"/>
    <w:rsid w:val="007166E2"/>
    <w:rsid w:val="00716DA2"/>
    <w:rsid w:val="00722C1A"/>
    <w:rsid w:val="00724391"/>
    <w:rsid w:val="007250ED"/>
    <w:rsid w:val="007257DC"/>
    <w:rsid w:val="00730CA2"/>
    <w:rsid w:val="00731096"/>
    <w:rsid w:val="0073116E"/>
    <w:rsid w:val="00731372"/>
    <w:rsid w:val="00732479"/>
    <w:rsid w:val="00732D4E"/>
    <w:rsid w:val="00735575"/>
    <w:rsid w:val="00736E93"/>
    <w:rsid w:val="00736FB1"/>
    <w:rsid w:val="007413B4"/>
    <w:rsid w:val="00742795"/>
    <w:rsid w:val="007428A4"/>
    <w:rsid w:val="00742C87"/>
    <w:rsid w:val="00744354"/>
    <w:rsid w:val="007455CE"/>
    <w:rsid w:val="007456D6"/>
    <w:rsid w:val="00747024"/>
    <w:rsid w:val="0075149F"/>
    <w:rsid w:val="00751C05"/>
    <w:rsid w:val="00752359"/>
    <w:rsid w:val="007540F2"/>
    <w:rsid w:val="007544CF"/>
    <w:rsid w:val="00754D8C"/>
    <w:rsid w:val="00755013"/>
    <w:rsid w:val="00755A6E"/>
    <w:rsid w:val="0075678C"/>
    <w:rsid w:val="00756C25"/>
    <w:rsid w:val="00761430"/>
    <w:rsid w:val="00761A62"/>
    <w:rsid w:val="007634BC"/>
    <w:rsid w:val="00770048"/>
    <w:rsid w:val="007710F2"/>
    <w:rsid w:val="0077357E"/>
    <w:rsid w:val="00774BB8"/>
    <w:rsid w:val="007760A4"/>
    <w:rsid w:val="007768DB"/>
    <w:rsid w:val="00776FD3"/>
    <w:rsid w:val="00777BE7"/>
    <w:rsid w:val="00777DEB"/>
    <w:rsid w:val="00781683"/>
    <w:rsid w:val="0078267D"/>
    <w:rsid w:val="00782686"/>
    <w:rsid w:val="00783FD2"/>
    <w:rsid w:val="00784234"/>
    <w:rsid w:val="00785C0C"/>
    <w:rsid w:val="00785DA7"/>
    <w:rsid w:val="00786C62"/>
    <w:rsid w:val="00786E67"/>
    <w:rsid w:val="0079195A"/>
    <w:rsid w:val="00791B40"/>
    <w:rsid w:val="00792E70"/>
    <w:rsid w:val="00793304"/>
    <w:rsid w:val="00793C81"/>
    <w:rsid w:val="00795371"/>
    <w:rsid w:val="00795CEB"/>
    <w:rsid w:val="00797125"/>
    <w:rsid w:val="007971FB"/>
    <w:rsid w:val="00797D6E"/>
    <w:rsid w:val="007A1327"/>
    <w:rsid w:val="007A1B55"/>
    <w:rsid w:val="007A2571"/>
    <w:rsid w:val="007A2A51"/>
    <w:rsid w:val="007A2FB6"/>
    <w:rsid w:val="007A5950"/>
    <w:rsid w:val="007A6329"/>
    <w:rsid w:val="007A6C09"/>
    <w:rsid w:val="007A73A3"/>
    <w:rsid w:val="007B09A6"/>
    <w:rsid w:val="007B1241"/>
    <w:rsid w:val="007B2B31"/>
    <w:rsid w:val="007B4957"/>
    <w:rsid w:val="007B4B45"/>
    <w:rsid w:val="007B5929"/>
    <w:rsid w:val="007B62B8"/>
    <w:rsid w:val="007B6AF5"/>
    <w:rsid w:val="007B6C87"/>
    <w:rsid w:val="007B71B4"/>
    <w:rsid w:val="007B73C1"/>
    <w:rsid w:val="007B755E"/>
    <w:rsid w:val="007C26BF"/>
    <w:rsid w:val="007C3D1E"/>
    <w:rsid w:val="007C40A1"/>
    <w:rsid w:val="007C57F6"/>
    <w:rsid w:val="007C5F98"/>
    <w:rsid w:val="007C61FF"/>
    <w:rsid w:val="007C675F"/>
    <w:rsid w:val="007C7711"/>
    <w:rsid w:val="007D0B4B"/>
    <w:rsid w:val="007D2CAA"/>
    <w:rsid w:val="007D341B"/>
    <w:rsid w:val="007D364E"/>
    <w:rsid w:val="007D4883"/>
    <w:rsid w:val="007D4FC4"/>
    <w:rsid w:val="007E07AB"/>
    <w:rsid w:val="007E31B6"/>
    <w:rsid w:val="007E55B6"/>
    <w:rsid w:val="007E577F"/>
    <w:rsid w:val="007E6417"/>
    <w:rsid w:val="007E7286"/>
    <w:rsid w:val="007F0387"/>
    <w:rsid w:val="007F112F"/>
    <w:rsid w:val="007F1DF0"/>
    <w:rsid w:val="007F294E"/>
    <w:rsid w:val="007F2C4B"/>
    <w:rsid w:val="007F2DCE"/>
    <w:rsid w:val="007F49D0"/>
    <w:rsid w:val="007F4B82"/>
    <w:rsid w:val="007F5C5F"/>
    <w:rsid w:val="007F6055"/>
    <w:rsid w:val="007F60B3"/>
    <w:rsid w:val="008000F8"/>
    <w:rsid w:val="00800338"/>
    <w:rsid w:val="0080084D"/>
    <w:rsid w:val="00800F29"/>
    <w:rsid w:val="00802869"/>
    <w:rsid w:val="00802C0B"/>
    <w:rsid w:val="00803214"/>
    <w:rsid w:val="008042A6"/>
    <w:rsid w:val="00804748"/>
    <w:rsid w:val="008050F1"/>
    <w:rsid w:val="00805531"/>
    <w:rsid w:val="00805FED"/>
    <w:rsid w:val="0080609E"/>
    <w:rsid w:val="00807548"/>
    <w:rsid w:val="0080781B"/>
    <w:rsid w:val="00810840"/>
    <w:rsid w:val="008128DE"/>
    <w:rsid w:val="00812A2C"/>
    <w:rsid w:val="00813627"/>
    <w:rsid w:val="00813C03"/>
    <w:rsid w:val="00813D67"/>
    <w:rsid w:val="00813F5C"/>
    <w:rsid w:val="00815F1F"/>
    <w:rsid w:val="00817064"/>
    <w:rsid w:val="00822A15"/>
    <w:rsid w:val="00822CCD"/>
    <w:rsid w:val="00823931"/>
    <w:rsid w:val="008248D1"/>
    <w:rsid w:val="00825A0B"/>
    <w:rsid w:val="00825C02"/>
    <w:rsid w:val="008318B2"/>
    <w:rsid w:val="00832A0E"/>
    <w:rsid w:val="00832AED"/>
    <w:rsid w:val="00832E69"/>
    <w:rsid w:val="00833BC2"/>
    <w:rsid w:val="00833F9A"/>
    <w:rsid w:val="0083432A"/>
    <w:rsid w:val="00837298"/>
    <w:rsid w:val="0083746F"/>
    <w:rsid w:val="00842D88"/>
    <w:rsid w:val="00843EF3"/>
    <w:rsid w:val="00844165"/>
    <w:rsid w:val="00844226"/>
    <w:rsid w:val="0084435C"/>
    <w:rsid w:val="008443D2"/>
    <w:rsid w:val="0084574A"/>
    <w:rsid w:val="00845C75"/>
    <w:rsid w:val="0084725B"/>
    <w:rsid w:val="0084737D"/>
    <w:rsid w:val="0085250A"/>
    <w:rsid w:val="00853C17"/>
    <w:rsid w:val="00854486"/>
    <w:rsid w:val="008544D0"/>
    <w:rsid w:val="00854D09"/>
    <w:rsid w:val="0085503B"/>
    <w:rsid w:val="008556B5"/>
    <w:rsid w:val="00856866"/>
    <w:rsid w:val="00857550"/>
    <w:rsid w:val="008606A3"/>
    <w:rsid w:val="00860E88"/>
    <w:rsid w:val="008630ED"/>
    <w:rsid w:val="00863E5C"/>
    <w:rsid w:val="008642E4"/>
    <w:rsid w:val="00864A19"/>
    <w:rsid w:val="00864A60"/>
    <w:rsid w:val="00864E14"/>
    <w:rsid w:val="00865D2E"/>
    <w:rsid w:val="00871115"/>
    <w:rsid w:val="00871876"/>
    <w:rsid w:val="0087197D"/>
    <w:rsid w:val="00873476"/>
    <w:rsid w:val="00873943"/>
    <w:rsid w:val="00874E15"/>
    <w:rsid w:val="00875AF9"/>
    <w:rsid w:val="00876F84"/>
    <w:rsid w:val="00877063"/>
    <w:rsid w:val="008771B9"/>
    <w:rsid w:val="008806C5"/>
    <w:rsid w:val="00880E82"/>
    <w:rsid w:val="008829BE"/>
    <w:rsid w:val="00882A28"/>
    <w:rsid w:val="00883CEA"/>
    <w:rsid w:val="00883E6F"/>
    <w:rsid w:val="00883F9B"/>
    <w:rsid w:val="0088510E"/>
    <w:rsid w:val="008856D7"/>
    <w:rsid w:val="0088669A"/>
    <w:rsid w:val="008919C6"/>
    <w:rsid w:val="00894B49"/>
    <w:rsid w:val="0089513E"/>
    <w:rsid w:val="008954FD"/>
    <w:rsid w:val="00895C96"/>
    <w:rsid w:val="00896947"/>
    <w:rsid w:val="00896F51"/>
    <w:rsid w:val="00897375"/>
    <w:rsid w:val="008A01A8"/>
    <w:rsid w:val="008A0388"/>
    <w:rsid w:val="008A039C"/>
    <w:rsid w:val="008A11CB"/>
    <w:rsid w:val="008A1886"/>
    <w:rsid w:val="008A1C8D"/>
    <w:rsid w:val="008A3E76"/>
    <w:rsid w:val="008A572E"/>
    <w:rsid w:val="008A7193"/>
    <w:rsid w:val="008A7A60"/>
    <w:rsid w:val="008B17B6"/>
    <w:rsid w:val="008B22C4"/>
    <w:rsid w:val="008B2DFB"/>
    <w:rsid w:val="008B394E"/>
    <w:rsid w:val="008B3EB2"/>
    <w:rsid w:val="008B4CB3"/>
    <w:rsid w:val="008B6401"/>
    <w:rsid w:val="008B6D75"/>
    <w:rsid w:val="008B7302"/>
    <w:rsid w:val="008B7B98"/>
    <w:rsid w:val="008B7E27"/>
    <w:rsid w:val="008B7E5E"/>
    <w:rsid w:val="008C0D78"/>
    <w:rsid w:val="008C1CD4"/>
    <w:rsid w:val="008C30C9"/>
    <w:rsid w:val="008C33BF"/>
    <w:rsid w:val="008C3645"/>
    <w:rsid w:val="008C39AB"/>
    <w:rsid w:val="008C47F2"/>
    <w:rsid w:val="008C6B50"/>
    <w:rsid w:val="008C722F"/>
    <w:rsid w:val="008C7BF8"/>
    <w:rsid w:val="008D0CF2"/>
    <w:rsid w:val="008D14E3"/>
    <w:rsid w:val="008D217B"/>
    <w:rsid w:val="008D260E"/>
    <w:rsid w:val="008D3D6B"/>
    <w:rsid w:val="008D46C1"/>
    <w:rsid w:val="008D723F"/>
    <w:rsid w:val="008D7906"/>
    <w:rsid w:val="008D7BB8"/>
    <w:rsid w:val="008E162B"/>
    <w:rsid w:val="008E1B1F"/>
    <w:rsid w:val="008E2F6E"/>
    <w:rsid w:val="008E3002"/>
    <w:rsid w:val="008E3B7D"/>
    <w:rsid w:val="008E417F"/>
    <w:rsid w:val="008E4650"/>
    <w:rsid w:val="008E5989"/>
    <w:rsid w:val="008E598D"/>
    <w:rsid w:val="008E78C1"/>
    <w:rsid w:val="008F00DB"/>
    <w:rsid w:val="008F0B9A"/>
    <w:rsid w:val="008F0CD1"/>
    <w:rsid w:val="008F17F5"/>
    <w:rsid w:val="008F206F"/>
    <w:rsid w:val="008F2C52"/>
    <w:rsid w:val="008F2DC6"/>
    <w:rsid w:val="008F3941"/>
    <w:rsid w:val="008F3967"/>
    <w:rsid w:val="008F3C7F"/>
    <w:rsid w:val="008F54E8"/>
    <w:rsid w:val="008F5D07"/>
    <w:rsid w:val="008F6B83"/>
    <w:rsid w:val="008F6CBE"/>
    <w:rsid w:val="0090068C"/>
    <w:rsid w:val="00900BF3"/>
    <w:rsid w:val="0090149E"/>
    <w:rsid w:val="00901CB0"/>
    <w:rsid w:val="00902B06"/>
    <w:rsid w:val="00903610"/>
    <w:rsid w:val="009037E1"/>
    <w:rsid w:val="009051C2"/>
    <w:rsid w:val="00905700"/>
    <w:rsid w:val="009066BE"/>
    <w:rsid w:val="009068A4"/>
    <w:rsid w:val="009075B8"/>
    <w:rsid w:val="00910DC0"/>
    <w:rsid w:val="00911739"/>
    <w:rsid w:val="00912393"/>
    <w:rsid w:val="00912C21"/>
    <w:rsid w:val="00913146"/>
    <w:rsid w:val="0091378E"/>
    <w:rsid w:val="00913A69"/>
    <w:rsid w:val="00913A8C"/>
    <w:rsid w:val="00914577"/>
    <w:rsid w:val="0091477C"/>
    <w:rsid w:val="009171FC"/>
    <w:rsid w:val="009207B5"/>
    <w:rsid w:val="00921244"/>
    <w:rsid w:val="0092268C"/>
    <w:rsid w:val="00922EFC"/>
    <w:rsid w:val="00922F34"/>
    <w:rsid w:val="009231D2"/>
    <w:rsid w:val="00926FA4"/>
    <w:rsid w:val="009273F1"/>
    <w:rsid w:val="009274E2"/>
    <w:rsid w:val="00931980"/>
    <w:rsid w:val="00933687"/>
    <w:rsid w:val="00933D1A"/>
    <w:rsid w:val="0093412A"/>
    <w:rsid w:val="00934BB9"/>
    <w:rsid w:val="00934E51"/>
    <w:rsid w:val="00934FDD"/>
    <w:rsid w:val="009360B4"/>
    <w:rsid w:val="0093689F"/>
    <w:rsid w:val="0093690A"/>
    <w:rsid w:val="00936989"/>
    <w:rsid w:val="00936DC5"/>
    <w:rsid w:val="00941404"/>
    <w:rsid w:val="00941C5E"/>
    <w:rsid w:val="009424F8"/>
    <w:rsid w:val="00942C2B"/>
    <w:rsid w:val="00945F4E"/>
    <w:rsid w:val="009469FF"/>
    <w:rsid w:val="00950AE7"/>
    <w:rsid w:val="00950F8A"/>
    <w:rsid w:val="00951676"/>
    <w:rsid w:val="0095249E"/>
    <w:rsid w:val="0095304D"/>
    <w:rsid w:val="00953173"/>
    <w:rsid w:val="00954139"/>
    <w:rsid w:val="0095496D"/>
    <w:rsid w:val="00955286"/>
    <w:rsid w:val="00955869"/>
    <w:rsid w:val="00956C18"/>
    <w:rsid w:val="009606B6"/>
    <w:rsid w:val="00961A68"/>
    <w:rsid w:val="00962B57"/>
    <w:rsid w:val="00962B69"/>
    <w:rsid w:val="00963148"/>
    <w:rsid w:val="00963679"/>
    <w:rsid w:val="00967E69"/>
    <w:rsid w:val="0097031C"/>
    <w:rsid w:val="00970561"/>
    <w:rsid w:val="0097119B"/>
    <w:rsid w:val="009711D7"/>
    <w:rsid w:val="00971DB7"/>
    <w:rsid w:val="009758FD"/>
    <w:rsid w:val="009759DC"/>
    <w:rsid w:val="00976DCC"/>
    <w:rsid w:val="00977690"/>
    <w:rsid w:val="0097780E"/>
    <w:rsid w:val="009835A6"/>
    <w:rsid w:val="00983B02"/>
    <w:rsid w:val="00984C4A"/>
    <w:rsid w:val="00985D7C"/>
    <w:rsid w:val="00985DEC"/>
    <w:rsid w:val="009870C5"/>
    <w:rsid w:val="00987170"/>
    <w:rsid w:val="00987701"/>
    <w:rsid w:val="00990331"/>
    <w:rsid w:val="00990AF2"/>
    <w:rsid w:val="00991812"/>
    <w:rsid w:val="00991889"/>
    <w:rsid w:val="00992378"/>
    <w:rsid w:val="009924FE"/>
    <w:rsid w:val="00992C85"/>
    <w:rsid w:val="00992DB3"/>
    <w:rsid w:val="0099335B"/>
    <w:rsid w:val="00993691"/>
    <w:rsid w:val="009946C5"/>
    <w:rsid w:val="009947D2"/>
    <w:rsid w:val="0099628C"/>
    <w:rsid w:val="0099693C"/>
    <w:rsid w:val="0099698E"/>
    <w:rsid w:val="00996CBE"/>
    <w:rsid w:val="00996E7B"/>
    <w:rsid w:val="009A05CB"/>
    <w:rsid w:val="009A22BD"/>
    <w:rsid w:val="009A363D"/>
    <w:rsid w:val="009A3678"/>
    <w:rsid w:val="009A3699"/>
    <w:rsid w:val="009A3ACF"/>
    <w:rsid w:val="009A59CE"/>
    <w:rsid w:val="009A5BE7"/>
    <w:rsid w:val="009A5BE8"/>
    <w:rsid w:val="009A60B9"/>
    <w:rsid w:val="009A631D"/>
    <w:rsid w:val="009A77F7"/>
    <w:rsid w:val="009B1DA9"/>
    <w:rsid w:val="009B21A8"/>
    <w:rsid w:val="009B5CCB"/>
    <w:rsid w:val="009B5FA9"/>
    <w:rsid w:val="009B602C"/>
    <w:rsid w:val="009B6C9B"/>
    <w:rsid w:val="009B6D8D"/>
    <w:rsid w:val="009B7F84"/>
    <w:rsid w:val="009C0425"/>
    <w:rsid w:val="009C0575"/>
    <w:rsid w:val="009C08C9"/>
    <w:rsid w:val="009C0B74"/>
    <w:rsid w:val="009C145A"/>
    <w:rsid w:val="009C3477"/>
    <w:rsid w:val="009C4970"/>
    <w:rsid w:val="009C5598"/>
    <w:rsid w:val="009C68A7"/>
    <w:rsid w:val="009C6AD1"/>
    <w:rsid w:val="009D012F"/>
    <w:rsid w:val="009D02AD"/>
    <w:rsid w:val="009D0D6D"/>
    <w:rsid w:val="009D1F96"/>
    <w:rsid w:val="009D2283"/>
    <w:rsid w:val="009D24DA"/>
    <w:rsid w:val="009D2CF4"/>
    <w:rsid w:val="009D508C"/>
    <w:rsid w:val="009D5656"/>
    <w:rsid w:val="009D5A22"/>
    <w:rsid w:val="009D60AB"/>
    <w:rsid w:val="009E084F"/>
    <w:rsid w:val="009E0E3B"/>
    <w:rsid w:val="009E1371"/>
    <w:rsid w:val="009E1409"/>
    <w:rsid w:val="009E4114"/>
    <w:rsid w:val="009E4ECA"/>
    <w:rsid w:val="009E5184"/>
    <w:rsid w:val="009E62CB"/>
    <w:rsid w:val="009E6A01"/>
    <w:rsid w:val="009E6B39"/>
    <w:rsid w:val="009E779F"/>
    <w:rsid w:val="009F0044"/>
    <w:rsid w:val="009F01F3"/>
    <w:rsid w:val="009F1C98"/>
    <w:rsid w:val="009F3543"/>
    <w:rsid w:val="009F372E"/>
    <w:rsid w:val="009F385C"/>
    <w:rsid w:val="009F3BB7"/>
    <w:rsid w:val="009F40DE"/>
    <w:rsid w:val="009F446A"/>
    <w:rsid w:val="009F4DC5"/>
    <w:rsid w:val="009F576C"/>
    <w:rsid w:val="009F7F79"/>
    <w:rsid w:val="00A02123"/>
    <w:rsid w:val="00A02A51"/>
    <w:rsid w:val="00A02BDD"/>
    <w:rsid w:val="00A03520"/>
    <w:rsid w:val="00A0364C"/>
    <w:rsid w:val="00A05390"/>
    <w:rsid w:val="00A058DC"/>
    <w:rsid w:val="00A06664"/>
    <w:rsid w:val="00A06E2D"/>
    <w:rsid w:val="00A0712B"/>
    <w:rsid w:val="00A07833"/>
    <w:rsid w:val="00A10DB9"/>
    <w:rsid w:val="00A11333"/>
    <w:rsid w:val="00A12EE2"/>
    <w:rsid w:val="00A1395C"/>
    <w:rsid w:val="00A13B47"/>
    <w:rsid w:val="00A14A2C"/>
    <w:rsid w:val="00A14DAF"/>
    <w:rsid w:val="00A14FAB"/>
    <w:rsid w:val="00A1539B"/>
    <w:rsid w:val="00A15EC8"/>
    <w:rsid w:val="00A16DD6"/>
    <w:rsid w:val="00A16F56"/>
    <w:rsid w:val="00A17376"/>
    <w:rsid w:val="00A17675"/>
    <w:rsid w:val="00A17E24"/>
    <w:rsid w:val="00A20DF5"/>
    <w:rsid w:val="00A21B74"/>
    <w:rsid w:val="00A229EB"/>
    <w:rsid w:val="00A22A0F"/>
    <w:rsid w:val="00A22EEA"/>
    <w:rsid w:val="00A24BEF"/>
    <w:rsid w:val="00A258B3"/>
    <w:rsid w:val="00A25D5E"/>
    <w:rsid w:val="00A26848"/>
    <w:rsid w:val="00A26A92"/>
    <w:rsid w:val="00A30A0B"/>
    <w:rsid w:val="00A30EB6"/>
    <w:rsid w:val="00A318AA"/>
    <w:rsid w:val="00A324EC"/>
    <w:rsid w:val="00A33A04"/>
    <w:rsid w:val="00A3782F"/>
    <w:rsid w:val="00A4079A"/>
    <w:rsid w:val="00A40A3A"/>
    <w:rsid w:val="00A41182"/>
    <w:rsid w:val="00A41743"/>
    <w:rsid w:val="00A42167"/>
    <w:rsid w:val="00A423F0"/>
    <w:rsid w:val="00A428C9"/>
    <w:rsid w:val="00A434C7"/>
    <w:rsid w:val="00A434F3"/>
    <w:rsid w:val="00A43EA7"/>
    <w:rsid w:val="00A44B2E"/>
    <w:rsid w:val="00A465BE"/>
    <w:rsid w:val="00A503C6"/>
    <w:rsid w:val="00A507DD"/>
    <w:rsid w:val="00A52458"/>
    <w:rsid w:val="00A52821"/>
    <w:rsid w:val="00A52996"/>
    <w:rsid w:val="00A53FEB"/>
    <w:rsid w:val="00A543C2"/>
    <w:rsid w:val="00A54B67"/>
    <w:rsid w:val="00A556FA"/>
    <w:rsid w:val="00A566EE"/>
    <w:rsid w:val="00A600AE"/>
    <w:rsid w:val="00A60673"/>
    <w:rsid w:val="00A606BF"/>
    <w:rsid w:val="00A60890"/>
    <w:rsid w:val="00A610EF"/>
    <w:rsid w:val="00A61464"/>
    <w:rsid w:val="00A6194B"/>
    <w:rsid w:val="00A626F5"/>
    <w:rsid w:val="00A643CC"/>
    <w:rsid w:val="00A65544"/>
    <w:rsid w:val="00A658C2"/>
    <w:rsid w:val="00A668B3"/>
    <w:rsid w:val="00A66A61"/>
    <w:rsid w:val="00A66DA8"/>
    <w:rsid w:val="00A7030A"/>
    <w:rsid w:val="00A70D59"/>
    <w:rsid w:val="00A746D8"/>
    <w:rsid w:val="00A7477F"/>
    <w:rsid w:val="00A74C1E"/>
    <w:rsid w:val="00A75D6E"/>
    <w:rsid w:val="00A77D84"/>
    <w:rsid w:val="00A820EB"/>
    <w:rsid w:val="00A82D14"/>
    <w:rsid w:val="00A8365C"/>
    <w:rsid w:val="00A83AFC"/>
    <w:rsid w:val="00A840F7"/>
    <w:rsid w:val="00A84E61"/>
    <w:rsid w:val="00A86840"/>
    <w:rsid w:val="00A86F0F"/>
    <w:rsid w:val="00A872BE"/>
    <w:rsid w:val="00A9009B"/>
    <w:rsid w:val="00A902BB"/>
    <w:rsid w:val="00A90BB4"/>
    <w:rsid w:val="00A91FD6"/>
    <w:rsid w:val="00A92B56"/>
    <w:rsid w:val="00A9317C"/>
    <w:rsid w:val="00A93956"/>
    <w:rsid w:val="00A93D84"/>
    <w:rsid w:val="00A94481"/>
    <w:rsid w:val="00A9502C"/>
    <w:rsid w:val="00A9693C"/>
    <w:rsid w:val="00A974FE"/>
    <w:rsid w:val="00A97900"/>
    <w:rsid w:val="00A97BC6"/>
    <w:rsid w:val="00AA06DA"/>
    <w:rsid w:val="00AA0F75"/>
    <w:rsid w:val="00AA1F52"/>
    <w:rsid w:val="00AA214E"/>
    <w:rsid w:val="00AA2944"/>
    <w:rsid w:val="00AA51BD"/>
    <w:rsid w:val="00AB0187"/>
    <w:rsid w:val="00AB07AC"/>
    <w:rsid w:val="00AB0F32"/>
    <w:rsid w:val="00AB12AD"/>
    <w:rsid w:val="00AB14A8"/>
    <w:rsid w:val="00AB1F36"/>
    <w:rsid w:val="00AB2B7D"/>
    <w:rsid w:val="00AB33B3"/>
    <w:rsid w:val="00AB3E58"/>
    <w:rsid w:val="00AB6498"/>
    <w:rsid w:val="00AB7AEB"/>
    <w:rsid w:val="00AB7DF5"/>
    <w:rsid w:val="00AC003F"/>
    <w:rsid w:val="00AC024B"/>
    <w:rsid w:val="00AC0A59"/>
    <w:rsid w:val="00AC0EC8"/>
    <w:rsid w:val="00AC1E01"/>
    <w:rsid w:val="00AC3AA6"/>
    <w:rsid w:val="00AC3DD0"/>
    <w:rsid w:val="00AC4EB8"/>
    <w:rsid w:val="00AC50FA"/>
    <w:rsid w:val="00AC51FF"/>
    <w:rsid w:val="00AC5668"/>
    <w:rsid w:val="00AC6EFE"/>
    <w:rsid w:val="00AC715B"/>
    <w:rsid w:val="00AD0DB5"/>
    <w:rsid w:val="00AD1B72"/>
    <w:rsid w:val="00AD2033"/>
    <w:rsid w:val="00AD253B"/>
    <w:rsid w:val="00AD2D7B"/>
    <w:rsid w:val="00AD2F3A"/>
    <w:rsid w:val="00AD37E7"/>
    <w:rsid w:val="00AD3969"/>
    <w:rsid w:val="00AD4D8E"/>
    <w:rsid w:val="00AD5268"/>
    <w:rsid w:val="00AD541B"/>
    <w:rsid w:val="00AD633B"/>
    <w:rsid w:val="00AD6480"/>
    <w:rsid w:val="00AD689E"/>
    <w:rsid w:val="00AD754E"/>
    <w:rsid w:val="00AE05E2"/>
    <w:rsid w:val="00AE1C80"/>
    <w:rsid w:val="00AE3BAD"/>
    <w:rsid w:val="00AE5EAE"/>
    <w:rsid w:val="00AE72A4"/>
    <w:rsid w:val="00AE7BB5"/>
    <w:rsid w:val="00AE7E77"/>
    <w:rsid w:val="00AF098D"/>
    <w:rsid w:val="00AF2033"/>
    <w:rsid w:val="00AF2265"/>
    <w:rsid w:val="00AF288A"/>
    <w:rsid w:val="00AF32B2"/>
    <w:rsid w:val="00AF3A6B"/>
    <w:rsid w:val="00AF3C11"/>
    <w:rsid w:val="00AF47C7"/>
    <w:rsid w:val="00AF4CF8"/>
    <w:rsid w:val="00AF6552"/>
    <w:rsid w:val="00AF6DB3"/>
    <w:rsid w:val="00AF7273"/>
    <w:rsid w:val="00AF7991"/>
    <w:rsid w:val="00B005A0"/>
    <w:rsid w:val="00B009DC"/>
    <w:rsid w:val="00B02BCF"/>
    <w:rsid w:val="00B0333C"/>
    <w:rsid w:val="00B04756"/>
    <w:rsid w:val="00B0552E"/>
    <w:rsid w:val="00B059C1"/>
    <w:rsid w:val="00B0723E"/>
    <w:rsid w:val="00B07AF7"/>
    <w:rsid w:val="00B07E38"/>
    <w:rsid w:val="00B1112E"/>
    <w:rsid w:val="00B11C86"/>
    <w:rsid w:val="00B129F3"/>
    <w:rsid w:val="00B13EA1"/>
    <w:rsid w:val="00B148AB"/>
    <w:rsid w:val="00B152FF"/>
    <w:rsid w:val="00B15813"/>
    <w:rsid w:val="00B166A3"/>
    <w:rsid w:val="00B1696E"/>
    <w:rsid w:val="00B17F92"/>
    <w:rsid w:val="00B20525"/>
    <w:rsid w:val="00B20961"/>
    <w:rsid w:val="00B2236C"/>
    <w:rsid w:val="00B225EA"/>
    <w:rsid w:val="00B22CD4"/>
    <w:rsid w:val="00B22E8D"/>
    <w:rsid w:val="00B24B48"/>
    <w:rsid w:val="00B2501B"/>
    <w:rsid w:val="00B25EA9"/>
    <w:rsid w:val="00B27551"/>
    <w:rsid w:val="00B2757C"/>
    <w:rsid w:val="00B30F36"/>
    <w:rsid w:val="00B3153A"/>
    <w:rsid w:val="00B320A3"/>
    <w:rsid w:val="00B32C89"/>
    <w:rsid w:val="00B338AB"/>
    <w:rsid w:val="00B348F6"/>
    <w:rsid w:val="00B3501D"/>
    <w:rsid w:val="00B36026"/>
    <w:rsid w:val="00B362F6"/>
    <w:rsid w:val="00B36774"/>
    <w:rsid w:val="00B379AC"/>
    <w:rsid w:val="00B37A93"/>
    <w:rsid w:val="00B41477"/>
    <w:rsid w:val="00B418A4"/>
    <w:rsid w:val="00B41CB5"/>
    <w:rsid w:val="00B42FD1"/>
    <w:rsid w:val="00B432BD"/>
    <w:rsid w:val="00B43B8E"/>
    <w:rsid w:val="00B43EA2"/>
    <w:rsid w:val="00B44056"/>
    <w:rsid w:val="00B4412A"/>
    <w:rsid w:val="00B44224"/>
    <w:rsid w:val="00B45BAC"/>
    <w:rsid w:val="00B461BA"/>
    <w:rsid w:val="00B50F0D"/>
    <w:rsid w:val="00B51032"/>
    <w:rsid w:val="00B51259"/>
    <w:rsid w:val="00B51C9C"/>
    <w:rsid w:val="00B5247B"/>
    <w:rsid w:val="00B526D2"/>
    <w:rsid w:val="00B52A46"/>
    <w:rsid w:val="00B5353E"/>
    <w:rsid w:val="00B53872"/>
    <w:rsid w:val="00B53BBD"/>
    <w:rsid w:val="00B5439A"/>
    <w:rsid w:val="00B54E8B"/>
    <w:rsid w:val="00B611AD"/>
    <w:rsid w:val="00B638AA"/>
    <w:rsid w:val="00B64360"/>
    <w:rsid w:val="00B67AEB"/>
    <w:rsid w:val="00B67C35"/>
    <w:rsid w:val="00B705CF"/>
    <w:rsid w:val="00B70EA3"/>
    <w:rsid w:val="00B70EDF"/>
    <w:rsid w:val="00B713F7"/>
    <w:rsid w:val="00B721C3"/>
    <w:rsid w:val="00B74582"/>
    <w:rsid w:val="00B74B53"/>
    <w:rsid w:val="00B74C38"/>
    <w:rsid w:val="00B764E9"/>
    <w:rsid w:val="00B76D20"/>
    <w:rsid w:val="00B76F95"/>
    <w:rsid w:val="00B77F88"/>
    <w:rsid w:val="00B80684"/>
    <w:rsid w:val="00B823E2"/>
    <w:rsid w:val="00B825FB"/>
    <w:rsid w:val="00B83BE8"/>
    <w:rsid w:val="00B83DE7"/>
    <w:rsid w:val="00B83F1E"/>
    <w:rsid w:val="00B850C6"/>
    <w:rsid w:val="00B8689A"/>
    <w:rsid w:val="00B86A2C"/>
    <w:rsid w:val="00B87722"/>
    <w:rsid w:val="00B87B43"/>
    <w:rsid w:val="00B92886"/>
    <w:rsid w:val="00B92BA9"/>
    <w:rsid w:val="00B93578"/>
    <w:rsid w:val="00B94076"/>
    <w:rsid w:val="00B95B2D"/>
    <w:rsid w:val="00B96629"/>
    <w:rsid w:val="00B96811"/>
    <w:rsid w:val="00B9783A"/>
    <w:rsid w:val="00BA20E1"/>
    <w:rsid w:val="00BA20E4"/>
    <w:rsid w:val="00BA24B2"/>
    <w:rsid w:val="00BA24E8"/>
    <w:rsid w:val="00BA3689"/>
    <w:rsid w:val="00BA4D5B"/>
    <w:rsid w:val="00BA4FC8"/>
    <w:rsid w:val="00BA709B"/>
    <w:rsid w:val="00BA760D"/>
    <w:rsid w:val="00BA7D83"/>
    <w:rsid w:val="00BB3E34"/>
    <w:rsid w:val="00BB5B42"/>
    <w:rsid w:val="00BB7461"/>
    <w:rsid w:val="00BC0424"/>
    <w:rsid w:val="00BC09F4"/>
    <w:rsid w:val="00BC11DE"/>
    <w:rsid w:val="00BC172C"/>
    <w:rsid w:val="00BC1A79"/>
    <w:rsid w:val="00BC1FAE"/>
    <w:rsid w:val="00BC2365"/>
    <w:rsid w:val="00BC2704"/>
    <w:rsid w:val="00BC33EF"/>
    <w:rsid w:val="00BC3560"/>
    <w:rsid w:val="00BC38B5"/>
    <w:rsid w:val="00BC4217"/>
    <w:rsid w:val="00BC422A"/>
    <w:rsid w:val="00BC439E"/>
    <w:rsid w:val="00BC4647"/>
    <w:rsid w:val="00BC50A3"/>
    <w:rsid w:val="00BC5BFA"/>
    <w:rsid w:val="00BC60D9"/>
    <w:rsid w:val="00BC6EE6"/>
    <w:rsid w:val="00BC7DB7"/>
    <w:rsid w:val="00BC7F28"/>
    <w:rsid w:val="00BD259F"/>
    <w:rsid w:val="00BD2F7D"/>
    <w:rsid w:val="00BD5A5D"/>
    <w:rsid w:val="00BD7CCA"/>
    <w:rsid w:val="00BE17A7"/>
    <w:rsid w:val="00BE2534"/>
    <w:rsid w:val="00BE4A3C"/>
    <w:rsid w:val="00BE4E8B"/>
    <w:rsid w:val="00BE5334"/>
    <w:rsid w:val="00BE59DD"/>
    <w:rsid w:val="00BE6272"/>
    <w:rsid w:val="00BE6D16"/>
    <w:rsid w:val="00BE742D"/>
    <w:rsid w:val="00BF031A"/>
    <w:rsid w:val="00BF1A33"/>
    <w:rsid w:val="00BF2C06"/>
    <w:rsid w:val="00BF2FBD"/>
    <w:rsid w:val="00BF4B3D"/>
    <w:rsid w:val="00BF51A0"/>
    <w:rsid w:val="00BF55A2"/>
    <w:rsid w:val="00BF631D"/>
    <w:rsid w:val="00BF6D9F"/>
    <w:rsid w:val="00C01170"/>
    <w:rsid w:val="00C01893"/>
    <w:rsid w:val="00C02F25"/>
    <w:rsid w:val="00C0493F"/>
    <w:rsid w:val="00C0582B"/>
    <w:rsid w:val="00C06481"/>
    <w:rsid w:val="00C06762"/>
    <w:rsid w:val="00C07398"/>
    <w:rsid w:val="00C07F3F"/>
    <w:rsid w:val="00C10335"/>
    <w:rsid w:val="00C107AA"/>
    <w:rsid w:val="00C10D79"/>
    <w:rsid w:val="00C117CE"/>
    <w:rsid w:val="00C12C34"/>
    <w:rsid w:val="00C1327B"/>
    <w:rsid w:val="00C133B3"/>
    <w:rsid w:val="00C15221"/>
    <w:rsid w:val="00C15400"/>
    <w:rsid w:val="00C175D6"/>
    <w:rsid w:val="00C17BEB"/>
    <w:rsid w:val="00C17FB3"/>
    <w:rsid w:val="00C219F9"/>
    <w:rsid w:val="00C21F64"/>
    <w:rsid w:val="00C229C1"/>
    <w:rsid w:val="00C22F6C"/>
    <w:rsid w:val="00C23960"/>
    <w:rsid w:val="00C2455C"/>
    <w:rsid w:val="00C250A5"/>
    <w:rsid w:val="00C27354"/>
    <w:rsid w:val="00C27FB3"/>
    <w:rsid w:val="00C300FF"/>
    <w:rsid w:val="00C310F5"/>
    <w:rsid w:val="00C311E7"/>
    <w:rsid w:val="00C31DAF"/>
    <w:rsid w:val="00C320B6"/>
    <w:rsid w:val="00C32EFF"/>
    <w:rsid w:val="00C33E73"/>
    <w:rsid w:val="00C34898"/>
    <w:rsid w:val="00C34C3D"/>
    <w:rsid w:val="00C355BF"/>
    <w:rsid w:val="00C36AC8"/>
    <w:rsid w:val="00C37B5C"/>
    <w:rsid w:val="00C37BB7"/>
    <w:rsid w:val="00C40006"/>
    <w:rsid w:val="00C41171"/>
    <w:rsid w:val="00C41DED"/>
    <w:rsid w:val="00C475A9"/>
    <w:rsid w:val="00C47614"/>
    <w:rsid w:val="00C478DF"/>
    <w:rsid w:val="00C47908"/>
    <w:rsid w:val="00C47B8C"/>
    <w:rsid w:val="00C47D55"/>
    <w:rsid w:val="00C50B1A"/>
    <w:rsid w:val="00C50CE7"/>
    <w:rsid w:val="00C51864"/>
    <w:rsid w:val="00C530E4"/>
    <w:rsid w:val="00C53326"/>
    <w:rsid w:val="00C5382B"/>
    <w:rsid w:val="00C55166"/>
    <w:rsid w:val="00C5545F"/>
    <w:rsid w:val="00C55621"/>
    <w:rsid w:val="00C56465"/>
    <w:rsid w:val="00C619B1"/>
    <w:rsid w:val="00C61D21"/>
    <w:rsid w:val="00C628EF"/>
    <w:rsid w:val="00C6489C"/>
    <w:rsid w:val="00C65257"/>
    <w:rsid w:val="00C669B8"/>
    <w:rsid w:val="00C71885"/>
    <w:rsid w:val="00C72006"/>
    <w:rsid w:val="00C721D8"/>
    <w:rsid w:val="00C72E15"/>
    <w:rsid w:val="00C72E7C"/>
    <w:rsid w:val="00C73A89"/>
    <w:rsid w:val="00C7588E"/>
    <w:rsid w:val="00C76E46"/>
    <w:rsid w:val="00C77ACD"/>
    <w:rsid w:val="00C8049B"/>
    <w:rsid w:val="00C806A4"/>
    <w:rsid w:val="00C81235"/>
    <w:rsid w:val="00C83241"/>
    <w:rsid w:val="00C84063"/>
    <w:rsid w:val="00C84BFA"/>
    <w:rsid w:val="00C84E6B"/>
    <w:rsid w:val="00C85247"/>
    <w:rsid w:val="00C854AA"/>
    <w:rsid w:val="00C85BDF"/>
    <w:rsid w:val="00C861B2"/>
    <w:rsid w:val="00C87139"/>
    <w:rsid w:val="00C8737D"/>
    <w:rsid w:val="00C87645"/>
    <w:rsid w:val="00C90633"/>
    <w:rsid w:val="00C90ABB"/>
    <w:rsid w:val="00C916E1"/>
    <w:rsid w:val="00C9354D"/>
    <w:rsid w:val="00C93D96"/>
    <w:rsid w:val="00C94200"/>
    <w:rsid w:val="00C96607"/>
    <w:rsid w:val="00C96A99"/>
    <w:rsid w:val="00C96D20"/>
    <w:rsid w:val="00C97F48"/>
    <w:rsid w:val="00C97FE7"/>
    <w:rsid w:val="00CA0334"/>
    <w:rsid w:val="00CA072D"/>
    <w:rsid w:val="00CA0897"/>
    <w:rsid w:val="00CA1ABA"/>
    <w:rsid w:val="00CA2521"/>
    <w:rsid w:val="00CA27DA"/>
    <w:rsid w:val="00CA469C"/>
    <w:rsid w:val="00CA48CD"/>
    <w:rsid w:val="00CA49D6"/>
    <w:rsid w:val="00CA4CBE"/>
    <w:rsid w:val="00CA5963"/>
    <w:rsid w:val="00CA6852"/>
    <w:rsid w:val="00CA685E"/>
    <w:rsid w:val="00CA7005"/>
    <w:rsid w:val="00CB1521"/>
    <w:rsid w:val="00CB1CE9"/>
    <w:rsid w:val="00CB1DB3"/>
    <w:rsid w:val="00CB2847"/>
    <w:rsid w:val="00CB296D"/>
    <w:rsid w:val="00CB29F3"/>
    <w:rsid w:val="00CB2B62"/>
    <w:rsid w:val="00CB3BBF"/>
    <w:rsid w:val="00CB3C91"/>
    <w:rsid w:val="00CB54CD"/>
    <w:rsid w:val="00CB5BBC"/>
    <w:rsid w:val="00CB7BE6"/>
    <w:rsid w:val="00CC0AA2"/>
    <w:rsid w:val="00CC1F2B"/>
    <w:rsid w:val="00CC2490"/>
    <w:rsid w:val="00CC2B0C"/>
    <w:rsid w:val="00CC2EDF"/>
    <w:rsid w:val="00CC3467"/>
    <w:rsid w:val="00CC41F8"/>
    <w:rsid w:val="00CC4B0A"/>
    <w:rsid w:val="00CC4EA7"/>
    <w:rsid w:val="00CC535F"/>
    <w:rsid w:val="00CC5AEF"/>
    <w:rsid w:val="00CC62D4"/>
    <w:rsid w:val="00CC6A25"/>
    <w:rsid w:val="00CC7E5F"/>
    <w:rsid w:val="00CD0F44"/>
    <w:rsid w:val="00CD3397"/>
    <w:rsid w:val="00CD4501"/>
    <w:rsid w:val="00CD47E0"/>
    <w:rsid w:val="00CD4FF4"/>
    <w:rsid w:val="00CD578F"/>
    <w:rsid w:val="00CD5DCE"/>
    <w:rsid w:val="00CD65A2"/>
    <w:rsid w:val="00CD76DF"/>
    <w:rsid w:val="00CD7DEB"/>
    <w:rsid w:val="00CE0B57"/>
    <w:rsid w:val="00CE1BF0"/>
    <w:rsid w:val="00CE223A"/>
    <w:rsid w:val="00CE2660"/>
    <w:rsid w:val="00CE3A60"/>
    <w:rsid w:val="00CE42A5"/>
    <w:rsid w:val="00CE621D"/>
    <w:rsid w:val="00CE62C0"/>
    <w:rsid w:val="00CE65BD"/>
    <w:rsid w:val="00CF0283"/>
    <w:rsid w:val="00CF083A"/>
    <w:rsid w:val="00CF22DF"/>
    <w:rsid w:val="00CF2EA7"/>
    <w:rsid w:val="00CF7812"/>
    <w:rsid w:val="00CF790D"/>
    <w:rsid w:val="00CF79C3"/>
    <w:rsid w:val="00D01AB1"/>
    <w:rsid w:val="00D01D6B"/>
    <w:rsid w:val="00D01EC4"/>
    <w:rsid w:val="00D02469"/>
    <w:rsid w:val="00D02718"/>
    <w:rsid w:val="00D04A5D"/>
    <w:rsid w:val="00D04D7C"/>
    <w:rsid w:val="00D05572"/>
    <w:rsid w:val="00D05C93"/>
    <w:rsid w:val="00D066B5"/>
    <w:rsid w:val="00D06BE8"/>
    <w:rsid w:val="00D071DE"/>
    <w:rsid w:val="00D1311D"/>
    <w:rsid w:val="00D133B9"/>
    <w:rsid w:val="00D147E6"/>
    <w:rsid w:val="00D15D8B"/>
    <w:rsid w:val="00D163E8"/>
    <w:rsid w:val="00D17054"/>
    <w:rsid w:val="00D20B56"/>
    <w:rsid w:val="00D225EA"/>
    <w:rsid w:val="00D22C63"/>
    <w:rsid w:val="00D2495F"/>
    <w:rsid w:val="00D260E8"/>
    <w:rsid w:val="00D26238"/>
    <w:rsid w:val="00D26409"/>
    <w:rsid w:val="00D273D4"/>
    <w:rsid w:val="00D27D89"/>
    <w:rsid w:val="00D30CDE"/>
    <w:rsid w:val="00D31329"/>
    <w:rsid w:val="00D3222C"/>
    <w:rsid w:val="00D323BE"/>
    <w:rsid w:val="00D32D18"/>
    <w:rsid w:val="00D33208"/>
    <w:rsid w:val="00D33EC3"/>
    <w:rsid w:val="00D35B83"/>
    <w:rsid w:val="00D364D5"/>
    <w:rsid w:val="00D36C1C"/>
    <w:rsid w:val="00D36E87"/>
    <w:rsid w:val="00D40A41"/>
    <w:rsid w:val="00D41264"/>
    <w:rsid w:val="00D4171B"/>
    <w:rsid w:val="00D41BCF"/>
    <w:rsid w:val="00D422E1"/>
    <w:rsid w:val="00D4266B"/>
    <w:rsid w:val="00D431A6"/>
    <w:rsid w:val="00D442D6"/>
    <w:rsid w:val="00D45FF9"/>
    <w:rsid w:val="00D460DB"/>
    <w:rsid w:val="00D46313"/>
    <w:rsid w:val="00D465EA"/>
    <w:rsid w:val="00D4660F"/>
    <w:rsid w:val="00D46DA1"/>
    <w:rsid w:val="00D47358"/>
    <w:rsid w:val="00D47843"/>
    <w:rsid w:val="00D47CA1"/>
    <w:rsid w:val="00D514ED"/>
    <w:rsid w:val="00D524E6"/>
    <w:rsid w:val="00D53908"/>
    <w:rsid w:val="00D5449F"/>
    <w:rsid w:val="00D54514"/>
    <w:rsid w:val="00D5515D"/>
    <w:rsid w:val="00D55488"/>
    <w:rsid w:val="00D55C26"/>
    <w:rsid w:val="00D56058"/>
    <w:rsid w:val="00D561CC"/>
    <w:rsid w:val="00D56886"/>
    <w:rsid w:val="00D56A7A"/>
    <w:rsid w:val="00D575D8"/>
    <w:rsid w:val="00D602F3"/>
    <w:rsid w:val="00D60FE1"/>
    <w:rsid w:val="00D61806"/>
    <w:rsid w:val="00D62057"/>
    <w:rsid w:val="00D62386"/>
    <w:rsid w:val="00D628CA"/>
    <w:rsid w:val="00D64C20"/>
    <w:rsid w:val="00D6507C"/>
    <w:rsid w:val="00D66562"/>
    <w:rsid w:val="00D668AA"/>
    <w:rsid w:val="00D6767F"/>
    <w:rsid w:val="00D70576"/>
    <w:rsid w:val="00D712AA"/>
    <w:rsid w:val="00D717F9"/>
    <w:rsid w:val="00D71D1F"/>
    <w:rsid w:val="00D71D49"/>
    <w:rsid w:val="00D72035"/>
    <w:rsid w:val="00D72857"/>
    <w:rsid w:val="00D73E53"/>
    <w:rsid w:val="00D74129"/>
    <w:rsid w:val="00D741BA"/>
    <w:rsid w:val="00D747F2"/>
    <w:rsid w:val="00D7526A"/>
    <w:rsid w:val="00D75E41"/>
    <w:rsid w:val="00D75EA9"/>
    <w:rsid w:val="00D7644F"/>
    <w:rsid w:val="00D76F69"/>
    <w:rsid w:val="00D77115"/>
    <w:rsid w:val="00D77D0A"/>
    <w:rsid w:val="00D809A7"/>
    <w:rsid w:val="00D809D4"/>
    <w:rsid w:val="00D81F8F"/>
    <w:rsid w:val="00D826FE"/>
    <w:rsid w:val="00D82D5B"/>
    <w:rsid w:val="00D8346F"/>
    <w:rsid w:val="00D83B10"/>
    <w:rsid w:val="00D8403F"/>
    <w:rsid w:val="00D84E98"/>
    <w:rsid w:val="00D85546"/>
    <w:rsid w:val="00D8644C"/>
    <w:rsid w:val="00D86DCC"/>
    <w:rsid w:val="00D86E99"/>
    <w:rsid w:val="00D872B4"/>
    <w:rsid w:val="00D90324"/>
    <w:rsid w:val="00D91C38"/>
    <w:rsid w:val="00D937AA"/>
    <w:rsid w:val="00D96350"/>
    <w:rsid w:val="00D96648"/>
    <w:rsid w:val="00D96A8B"/>
    <w:rsid w:val="00D9743C"/>
    <w:rsid w:val="00DA086D"/>
    <w:rsid w:val="00DA1B4A"/>
    <w:rsid w:val="00DA1F1F"/>
    <w:rsid w:val="00DA257E"/>
    <w:rsid w:val="00DA492C"/>
    <w:rsid w:val="00DA5658"/>
    <w:rsid w:val="00DA6785"/>
    <w:rsid w:val="00DB06A5"/>
    <w:rsid w:val="00DB40DD"/>
    <w:rsid w:val="00DB4604"/>
    <w:rsid w:val="00DB535F"/>
    <w:rsid w:val="00DB5911"/>
    <w:rsid w:val="00DB6EE2"/>
    <w:rsid w:val="00DB76F7"/>
    <w:rsid w:val="00DB790D"/>
    <w:rsid w:val="00DB7980"/>
    <w:rsid w:val="00DB7984"/>
    <w:rsid w:val="00DC1DA1"/>
    <w:rsid w:val="00DC2302"/>
    <w:rsid w:val="00DC282A"/>
    <w:rsid w:val="00DC352A"/>
    <w:rsid w:val="00DC44AE"/>
    <w:rsid w:val="00DC461F"/>
    <w:rsid w:val="00DC4D14"/>
    <w:rsid w:val="00DC634F"/>
    <w:rsid w:val="00DC69A3"/>
    <w:rsid w:val="00DC7772"/>
    <w:rsid w:val="00DC7E3A"/>
    <w:rsid w:val="00DC7ED8"/>
    <w:rsid w:val="00DD0A69"/>
    <w:rsid w:val="00DD16A1"/>
    <w:rsid w:val="00DD214A"/>
    <w:rsid w:val="00DD232C"/>
    <w:rsid w:val="00DD28F3"/>
    <w:rsid w:val="00DD445C"/>
    <w:rsid w:val="00DD6C65"/>
    <w:rsid w:val="00DD6D1B"/>
    <w:rsid w:val="00DD6FAF"/>
    <w:rsid w:val="00DE0ABE"/>
    <w:rsid w:val="00DE110A"/>
    <w:rsid w:val="00DE18BA"/>
    <w:rsid w:val="00DE205F"/>
    <w:rsid w:val="00DE3050"/>
    <w:rsid w:val="00DE4827"/>
    <w:rsid w:val="00DE4F44"/>
    <w:rsid w:val="00DE57AB"/>
    <w:rsid w:val="00DE60C1"/>
    <w:rsid w:val="00DE65F4"/>
    <w:rsid w:val="00DE7527"/>
    <w:rsid w:val="00DE78FF"/>
    <w:rsid w:val="00DF0994"/>
    <w:rsid w:val="00DF1002"/>
    <w:rsid w:val="00DF33FF"/>
    <w:rsid w:val="00DF37B7"/>
    <w:rsid w:val="00DF45DB"/>
    <w:rsid w:val="00DF4758"/>
    <w:rsid w:val="00DF5181"/>
    <w:rsid w:val="00DF52DF"/>
    <w:rsid w:val="00DF731C"/>
    <w:rsid w:val="00E00214"/>
    <w:rsid w:val="00E02B82"/>
    <w:rsid w:val="00E02CFF"/>
    <w:rsid w:val="00E042EE"/>
    <w:rsid w:val="00E05673"/>
    <w:rsid w:val="00E07D9A"/>
    <w:rsid w:val="00E106B5"/>
    <w:rsid w:val="00E113B5"/>
    <w:rsid w:val="00E12714"/>
    <w:rsid w:val="00E12BBD"/>
    <w:rsid w:val="00E137B3"/>
    <w:rsid w:val="00E13F2D"/>
    <w:rsid w:val="00E14054"/>
    <w:rsid w:val="00E154A6"/>
    <w:rsid w:val="00E1552A"/>
    <w:rsid w:val="00E15A43"/>
    <w:rsid w:val="00E15B81"/>
    <w:rsid w:val="00E16DF2"/>
    <w:rsid w:val="00E1764F"/>
    <w:rsid w:val="00E17D3E"/>
    <w:rsid w:val="00E204F1"/>
    <w:rsid w:val="00E23F1C"/>
    <w:rsid w:val="00E248A2"/>
    <w:rsid w:val="00E24BDD"/>
    <w:rsid w:val="00E24D6F"/>
    <w:rsid w:val="00E268D0"/>
    <w:rsid w:val="00E2798B"/>
    <w:rsid w:val="00E27B9F"/>
    <w:rsid w:val="00E27BC1"/>
    <w:rsid w:val="00E30B8A"/>
    <w:rsid w:val="00E31E3C"/>
    <w:rsid w:val="00E32494"/>
    <w:rsid w:val="00E3297E"/>
    <w:rsid w:val="00E3301E"/>
    <w:rsid w:val="00E33354"/>
    <w:rsid w:val="00E335EF"/>
    <w:rsid w:val="00E33A05"/>
    <w:rsid w:val="00E340DE"/>
    <w:rsid w:val="00E3478F"/>
    <w:rsid w:val="00E351B1"/>
    <w:rsid w:val="00E3543B"/>
    <w:rsid w:val="00E35454"/>
    <w:rsid w:val="00E3589E"/>
    <w:rsid w:val="00E35D68"/>
    <w:rsid w:val="00E3670A"/>
    <w:rsid w:val="00E37CE6"/>
    <w:rsid w:val="00E40884"/>
    <w:rsid w:val="00E42506"/>
    <w:rsid w:val="00E43045"/>
    <w:rsid w:val="00E45869"/>
    <w:rsid w:val="00E464EF"/>
    <w:rsid w:val="00E47584"/>
    <w:rsid w:val="00E50FA3"/>
    <w:rsid w:val="00E51046"/>
    <w:rsid w:val="00E51DCC"/>
    <w:rsid w:val="00E51F82"/>
    <w:rsid w:val="00E525DF"/>
    <w:rsid w:val="00E525EF"/>
    <w:rsid w:val="00E5273E"/>
    <w:rsid w:val="00E5424B"/>
    <w:rsid w:val="00E54BEF"/>
    <w:rsid w:val="00E55130"/>
    <w:rsid w:val="00E5563C"/>
    <w:rsid w:val="00E5592B"/>
    <w:rsid w:val="00E568A2"/>
    <w:rsid w:val="00E57151"/>
    <w:rsid w:val="00E57EE0"/>
    <w:rsid w:val="00E600CA"/>
    <w:rsid w:val="00E602A9"/>
    <w:rsid w:val="00E61EDA"/>
    <w:rsid w:val="00E62E5F"/>
    <w:rsid w:val="00E63DE4"/>
    <w:rsid w:val="00E64FBA"/>
    <w:rsid w:val="00E6522F"/>
    <w:rsid w:val="00E6572B"/>
    <w:rsid w:val="00E66052"/>
    <w:rsid w:val="00E66160"/>
    <w:rsid w:val="00E67C02"/>
    <w:rsid w:val="00E67E86"/>
    <w:rsid w:val="00E70D37"/>
    <w:rsid w:val="00E744B1"/>
    <w:rsid w:val="00E74D69"/>
    <w:rsid w:val="00E75852"/>
    <w:rsid w:val="00E75BD4"/>
    <w:rsid w:val="00E77E32"/>
    <w:rsid w:val="00E80101"/>
    <w:rsid w:val="00E820F3"/>
    <w:rsid w:val="00E82556"/>
    <w:rsid w:val="00E8325B"/>
    <w:rsid w:val="00E85B8F"/>
    <w:rsid w:val="00E8619D"/>
    <w:rsid w:val="00E86CC8"/>
    <w:rsid w:val="00E87BE4"/>
    <w:rsid w:val="00E90141"/>
    <w:rsid w:val="00E90383"/>
    <w:rsid w:val="00E90634"/>
    <w:rsid w:val="00E90B92"/>
    <w:rsid w:val="00E949A5"/>
    <w:rsid w:val="00E9536A"/>
    <w:rsid w:val="00E954E4"/>
    <w:rsid w:val="00E962BE"/>
    <w:rsid w:val="00E965E3"/>
    <w:rsid w:val="00E97E71"/>
    <w:rsid w:val="00EA0556"/>
    <w:rsid w:val="00EA0DE4"/>
    <w:rsid w:val="00EA11C7"/>
    <w:rsid w:val="00EA1B0A"/>
    <w:rsid w:val="00EA2B33"/>
    <w:rsid w:val="00EA4786"/>
    <w:rsid w:val="00EA57E7"/>
    <w:rsid w:val="00EA57F9"/>
    <w:rsid w:val="00EA5917"/>
    <w:rsid w:val="00EA71E9"/>
    <w:rsid w:val="00EA7891"/>
    <w:rsid w:val="00EB0ADE"/>
    <w:rsid w:val="00EB1945"/>
    <w:rsid w:val="00EB2094"/>
    <w:rsid w:val="00EB3492"/>
    <w:rsid w:val="00EB3EE8"/>
    <w:rsid w:val="00EB43FA"/>
    <w:rsid w:val="00EB4A76"/>
    <w:rsid w:val="00EB5111"/>
    <w:rsid w:val="00EB756E"/>
    <w:rsid w:val="00EB79AD"/>
    <w:rsid w:val="00EC07BC"/>
    <w:rsid w:val="00EC09A3"/>
    <w:rsid w:val="00EC0CCE"/>
    <w:rsid w:val="00EC129B"/>
    <w:rsid w:val="00EC14FC"/>
    <w:rsid w:val="00EC1509"/>
    <w:rsid w:val="00EC3E20"/>
    <w:rsid w:val="00EC4B40"/>
    <w:rsid w:val="00EC4C38"/>
    <w:rsid w:val="00EC4E9A"/>
    <w:rsid w:val="00EC4FBC"/>
    <w:rsid w:val="00EC53EA"/>
    <w:rsid w:val="00EC54A1"/>
    <w:rsid w:val="00EC7800"/>
    <w:rsid w:val="00EC785A"/>
    <w:rsid w:val="00EC7C7B"/>
    <w:rsid w:val="00EC7E73"/>
    <w:rsid w:val="00ED04D4"/>
    <w:rsid w:val="00ED0806"/>
    <w:rsid w:val="00ED1054"/>
    <w:rsid w:val="00ED1871"/>
    <w:rsid w:val="00ED2261"/>
    <w:rsid w:val="00ED2762"/>
    <w:rsid w:val="00ED28B1"/>
    <w:rsid w:val="00ED3578"/>
    <w:rsid w:val="00ED433F"/>
    <w:rsid w:val="00ED6459"/>
    <w:rsid w:val="00EE0046"/>
    <w:rsid w:val="00EE05E7"/>
    <w:rsid w:val="00EE07EA"/>
    <w:rsid w:val="00EE2C7E"/>
    <w:rsid w:val="00EE348F"/>
    <w:rsid w:val="00EE4724"/>
    <w:rsid w:val="00EE4A65"/>
    <w:rsid w:val="00EE4C38"/>
    <w:rsid w:val="00EE558F"/>
    <w:rsid w:val="00EE5651"/>
    <w:rsid w:val="00EE6154"/>
    <w:rsid w:val="00EE7DC1"/>
    <w:rsid w:val="00EF024F"/>
    <w:rsid w:val="00EF083F"/>
    <w:rsid w:val="00EF0B6C"/>
    <w:rsid w:val="00EF0D03"/>
    <w:rsid w:val="00EF1022"/>
    <w:rsid w:val="00EF1088"/>
    <w:rsid w:val="00EF1797"/>
    <w:rsid w:val="00EF2A86"/>
    <w:rsid w:val="00EF3595"/>
    <w:rsid w:val="00EF3BE0"/>
    <w:rsid w:val="00EF3DA4"/>
    <w:rsid w:val="00EF498B"/>
    <w:rsid w:val="00EF4D1C"/>
    <w:rsid w:val="00EF6F84"/>
    <w:rsid w:val="00EF7B39"/>
    <w:rsid w:val="00F002C2"/>
    <w:rsid w:val="00F00DA8"/>
    <w:rsid w:val="00F021A5"/>
    <w:rsid w:val="00F02612"/>
    <w:rsid w:val="00F03F4A"/>
    <w:rsid w:val="00F04779"/>
    <w:rsid w:val="00F0626F"/>
    <w:rsid w:val="00F063BA"/>
    <w:rsid w:val="00F06CF0"/>
    <w:rsid w:val="00F073DA"/>
    <w:rsid w:val="00F1018C"/>
    <w:rsid w:val="00F11F86"/>
    <w:rsid w:val="00F1239B"/>
    <w:rsid w:val="00F126AA"/>
    <w:rsid w:val="00F12A28"/>
    <w:rsid w:val="00F13EF7"/>
    <w:rsid w:val="00F1463E"/>
    <w:rsid w:val="00F15361"/>
    <w:rsid w:val="00F157F2"/>
    <w:rsid w:val="00F15910"/>
    <w:rsid w:val="00F17716"/>
    <w:rsid w:val="00F217E3"/>
    <w:rsid w:val="00F220B2"/>
    <w:rsid w:val="00F22E62"/>
    <w:rsid w:val="00F23CB8"/>
    <w:rsid w:val="00F23F18"/>
    <w:rsid w:val="00F25FB0"/>
    <w:rsid w:val="00F27B30"/>
    <w:rsid w:val="00F30052"/>
    <w:rsid w:val="00F309D0"/>
    <w:rsid w:val="00F312AB"/>
    <w:rsid w:val="00F31F22"/>
    <w:rsid w:val="00F329E7"/>
    <w:rsid w:val="00F32A76"/>
    <w:rsid w:val="00F331CF"/>
    <w:rsid w:val="00F340DE"/>
    <w:rsid w:val="00F343B5"/>
    <w:rsid w:val="00F344FF"/>
    <w:rsid w:val="00F34A7A"/>
    <w:rsid w:val="00F354E2"/>
    <w:rsid w:val="00F37C7C"/>
    <w:rsid w:val="00F417AE"/>
    <w:rsid w:val="00F42742"/>
    <w:rsid w:val="00F428D1"/>
    <w:rsid w:val="00F44F46"/>
    <w:rsid w:val="00F47606"/>
    <w:rsid w:val="00F477CB"/>
    <w:rsid w:val="00F47F7F"/>
    <w:rsid w:val="00F501F8"/>
    <w:rsid w:val="00F50B77"/>
    <w:rsid w:val="00F50C06"/>
    <w:rsid w:val="00F52875"/>
    <w:rsid w:val="00F52D89"/>
    <w:rsid w:val="00F52FC5"/>
    <w:rsid w:val="00F54AAE"/>
    <w:rsid w:val="00F54C2D"/>
    <w:rsid w:val="00F55178"/>
    <w:rsid w:val="00F55A77"/>
    <w:rsid w:val="00F56442"/>
    <w:rsid w:val="00F56483"/>
    <w:rsid w:val="00F60DB5"/>
    <w:rsid w:val="00F61433"/>
    <w:rsid w:val="00F65D85"/>
    <w:rsid w:val="00F65EE1"/>
    <w:rsid w:val="00F66215"/>
    <w:rsid w:val="00F66236"/>
    <w:rsid w:val="00F668A8"/>
    <w:rsid w:val="00F67CD8"/>
    <w:rsid w:val="00F7089E"/>
    <w:rsid w:val="00F70A94"/>
    <w:rsid w:val="00F71DA5"/>
    <w:rsid w:val="00F73051"/>
    <w:rsid w:val="00F73449"/>
    <w:rsid w:val="00F7459D"/>
    <w:rsid w:val="00F75F0B"/>
    <w:rsid w:val="00F76C08"/>
    <w:rsid w:val="00F76F0F"/>
    <w:rsid w:val="00F77D3E"/>
    <w:rsid w:val="00F81538"/>
    <w:rsid w:val="00F81DF8"/>
    <w:rsid w:val="00F82E4E"/>
    <w:rsid w:val="00F8312A"/>
    <w:rsid w:val="00F83481"/>
    <w:rsid w:val="00F838AD"/>
    <w:rsid w:val="00F84484"/>
    <w:rsid w:val="00F87675"/>
    <w:rsid w:val="00F87AF8"/>
    <w:rsid w:val="00F91B48"/>
    <w:rsid w:val="00F92A48"/>
    <w:rsid w:val="00F95106"/>
    <w:rsid w:val="00F954F9"/>
    <w:rsid w:val="00F956EB"/>
    <w:rsid w:val="00F97852"/>
    <w:rsid w:val="00F978FC"/>
    <w:rsid w:val="00F97ADD"/>
    <w:rsid w:val="00FA0C10"/>
    <w:rsid w:val="00FA1A54"/>
    <w:rsid w:val="00FA20CF"/>
    <w:rsid w:val="00FA3D1D"/>
    <w:rsid w:val="00FA6CA9"/>
    <w:rsid w:val="00FA6EBB"/>
    <w:rsid w:val="00FB017D"/>
    <w:rsid w:val="00FB168B"/>
    <w:rsid w:val="00FB3EB3"/>
    <w:rsid w:val="00FB48DB"/>
    <w:rsid w:val="00FB4B5A"/>
    <w:rsid w:val="00FB50E0"/>
    <w:rsid w:val="00FB5979"/>
    <w:rsid w:val="00FB59FD"/>
    <w:rsid w:val="00FB6095"/>
    <w:rsid w:val="00FB7B73"/>
    <w:rsid w:val="00FB7BFA"/>
    <w:rsid w:val="00FC0854"/>
    <w:rsid w:val="00FC0FC0"/>
    <w:rsid w:val="00FC1E0B"/>
    <w:rsid w:val="00FC229A"/>
    <w:rsid w:val="00FC236B"/>
    <w:rsid w:val="00FC2568"/>
    <w:rsid w:val="00FC34B5"/>
    <w:rsid w:val="00FC4E83"/>
    <w:rsid w:val="00FC5614"/>
    <w:rsid w:val="00FD1F48"/>
    <w:rsid w:val="00FD30C6"/>
    <w:rsid w:val="00FD37DC"/>
    <w:rsid w:val="00FD3F03"/>
    <w:rsid w:val="00FD5E6C"/>
    <w:rsid w:val="00FD6667"/>
    <w:rsid w:val="00FD6671"/>
    <w:rsid w:val="00FD6675"/>
    <w:rsid w:val="00FE1201"/>
    <w:rsid w:val="00FE167C"/>
    <w:rsid w:val="00FE45F0"/>
    <w:rsid w:val="00FE58CF"/>
    <w:rsid w:val="00FE5BCD"/>
    <w:rsid w:val="00FE5FD7"/>
    <w:rsid w:val="00FE6DA8"/>
    <w:rsid w:val="00FE6DE0"/>
    <w:rsid w:val="00FF02E8"/>
    <w:rsid w:val="00FF0CD4"/>
    <w:rsid w:val="00FF259B"/>
    <w:rsid w:val="00FF2BC7"/>
    <w:rsid w:val="00FF4BF2"/>
    <w:rsid w:val="00FF4C93"/>
    <w:rsid w:val="00FF4F16"/>
    <w:rsid w:val="00FF7D33"/>
    <w:rsid w:val="026F1436"/>
    <w:rsid w:val="02A04C98"/>
    <w:rsid w:val="03041559"/>
    <w:rsid w:val="03A95B66"/>
    <w:rsid w:val="04194CE4"/>
    <w:rsid w:val="04624E67"/>
    <w:rsid w:val="04DC0CAC"/>
    <w:rsid w:val="054E3661"/>
    <w:rsid w:val="07B569A6"/>
    <w:rsid w:val="07CD4764"/>
    <w:rsid w:val="07DD6967"/>
    <w:rsid w:val="0830195C"/>
    <w:rsid w:val="086F5535"/>
    <w:rsid w:val="0921726E"/>
    <w:rsid w:val="09774109"/>
    <w:rsid w:val="0980510F"/>
    <w:rsid w:val="0A2A37A7"/>
    <w:rsid w:val="0A7113D6"/>
    <w:rsid w:val="0A76472B"/>
    <w:rsid w:val="0B143ED8"/>
    <w:rsid w:val="0CB25BB5"/>
    <w:rsid w:val="0D2F3FE7"/>
    <w:rsid w:val="0D571D05"/>
    <w:rsid w:val="0F44530B"/>
    <w:rsid w:val="0FF275B4"/>
    <w:rsid w:val="10FC79E3"/>
    <w:rsid w:val="11886788"/>
    <w:rsid w:val="128E0438"/>
    <w:rsid w:val="12BD14ED"/>
    <w:rsid w:val="12C415B5"/>
    <w:rsid w:val="13224656"/>
    <w:rsid w:val="13677D35"/>
    <w:rsid w:val="13E7382F"/>
    <w:rsid w:val="14030C7F"/>
    <w:rsid w:val="15DA2525"/>
    <w:rsid w:val="170C2BCD"/>
    <w:rsid w:val="17DF105E"/>
    <w:rsid w:val="18314CE1"/>
    <w:rsid w:val="1B4B5745"/>
    <w:rsid w:val="1B5C0BF4"/>
    <w:rsid w:val="1DF75C3F"/>
    <w:rsid w:val="1E416396"/>
    <w:rsid w:val="1EF70623"/>
    <w:rsid w:val="1FBC0EEE"/>
    <w:rsid w:val="2027123D"/>
    <w:rsid w:val="20B810A0"/>
    <w:rsid w:val="21340690"/>
    <w:rsid w:val="213E3B4A"/>
    <w:rsid w:val="21635AC5"/>
    <w:rsid w:val="21EA2085"/>
    <w:rsid w:val="22D341B8"/>
    <w:rsid w:val="23171374"/>
    <w:rsid w:val="24C67625"/>
    <w:rsid w:val="251A0FD8"/>
    <w:rsid w:val="251D5F8B"/>
    <w:rsid w:val="25471CCA"/>
    <w:rsid w:val="268F138C"/>
    <w:rsid w:val="27EE0503"/>
    <w:rsid w:val="28132C9B"/>
    <w:rsid w:val="296E5D6D"/>
    <w:rsid w:val="29E76B67"/>
    <w:rsid w:val="2B0167A9"/>
    <w:rsid w:val="2B7D34B2"/>
    <w:rsid w:val="2B887F0B"/>
    <w:rsid w:val="2BB44256"/>
    <w:rsid w:val="2D093F8A"/>
    <w:rsid w:val="2D596900"/>
    <w:rsid w:val="2E483C4C"/>
    <w:rsid w:val="2EF7249C"/>
    <w:rsid w:val="2F5B11E1"/>
    <w:rsid w:val="303E340A"/>
    <w:rsid w:val="30655B7A"/>
    <w:rsid w:val="30997731"/>
    <w:rsid w:val="313756E3"/>
    <w:rsid w:val="3155769E"/>
    <w:rsid w:val="3188169A"/>
    <w:rsid w:val="323C6266"/>
    <w:rsid w:val="32454BED"/>
    <w:rsid w:val="329F4609"/>
    <w:rsid w:val="32CD025B"/>
    <w:rsid w:val="34436268"/>
    <w:rsid w:val="34DF0366"/>
    <w:rsid w:val="350B488E"/>
    <w:rsid w:val="364F2131"/>
    <w:rsid w:val="365D48A2"/>
    <w:rsid w:val="369E5655"/>
    <w:rsid w:val="36F21B20"/>
    <w:rsid w:val="37A22FB5"/>
    <w:rsid w:val="38252E06"/>
    <w:rsid w:val="385F4A2E"/>
    <w:rsid w:val="3A6D3DDE"/>
    <w:rsid w:val="3B45371F"/>
    <w:rsid w:val="3D520495"/>
    <w:rsid w:val="3E1000F5"/>
    <w:rsid w:val="3F202BA2"/>
    <w:rsid w:val="40F0070A"/>
    <w:rsid w:val="41DC438D"/>
    <w:rsid w:val="41F316E7"/>
    <w:rsid w:val="43026882"/>
    <w:rsid w:val="44A624E5"/>
    <w:rsid w:val="44F25D71"/>
    <w:rsid w:val="45A635B0"/>
    <w:rsid w:val="47852B09"/>
    <w:rsid w:val="47C44F78"/>
    <w:rsid w:val="485E04E5"/>
    <w:rsid w:val="48BD01A3"/>
    <w:rsid w:val="48D35F77"/>
    <w:rsid w:val="494731E0"/>
    <w:rsid w:val="4A7B3F5E"/>
    <w:rsid w:val="4ADA24D6"/>
    <w:rsid w:val="4BC52733"/>
    <w:rsid w:val="4BCB7890"/>
    <w:rsid w:val="4C015D7F"/>
    <w:rsid w:val="4C20433F"/>
    <w:rsid w:val="4DBE4F8C"/>
    <w:rsid w:val="4DFA3376"/>
    <w:rsid w:val="4E4A0888"/>
    <w:rsid w:val="4EA76741"/>
    <w:rsid w:val="4EFB4203"/>
    <w:rsid w:val="4F1F4B61"/>
    <w:rsid w:val="50C05959"/>
    <w:rsid w:val="51AF1291"/>
    <w:rsid w:val="51C97FF5"/>
    <w:rsid w:val="51DD1085"/>
    <w:rsid w:val="52543193"/>
    <w:rsid w:val="53807635"/>
    <w:rsid w:val="53C9715A"/>
    <w:rsid w:val="55066D29"/>
    <w:rsid w:val="55CB4C5A"/>
    <w:rsid w:val="578C17FF"/>
    <w:rsid w:val="57A21429"/>
    <w:rsid w:val="584E7B68"/>
    <w:rsid w:val="58F509F1"/>
    <w:rsid w:val="593807CC"/>
    <w:rsid w:val="5938631D"/>
    <w:rsid w:val="593F3C21"/>
    <w:rsid w:val="5A143CDE"/>
    <w:rsid w:val="5A983AE7"/>
    <w:rsid w:val="5ADF3AC9"/>
    <w:rsid w:val="5B71254C"/>
    <w:rsid w:val="5B965829"/>
    <w:rsid w:val="5BF916C3"/>
    <w:rsid w:val="5CC62CE0"/>
    <w:rsid w:val="5CF611E2"/>
    <w:rsid w:val="5D7B592B"/>
    <w:rsid w:val="5DD221DC"/>
    <w:rsid w:val="5DD73F72"/>
    <w:rsid w:val="5DE775CD"/>
    <w:rsid w:val="5E3A22F9"/>
    <w:rsid w:val="5E5A01E9"/>
    <w:rsid w:val="5EC46A32"/>
    <w:rsid w:val="5F9E1FB8"/>
    <w:rsid w:val="62737DF2"/>
    <w:rsid w:val="6285630D"/>
    <w:rsid w:val="628F42EB"/>
    <w:rsid w:val="62DE6CD4"/>
    <w:rsid w:val="645808B0"/>
    <w:rsid w:val="64BE12B6"/>
    <w:rsid w:val="66710CB2"/>
    <w:rsid w:val="67631532"/>
    <w:rsid w:val="68150F0C"/>
    <w:rsid w:val="697C0CBE"/>
    <w:rsid w:val="6AAE12AD"/>
    <w:rsid w:val="6ADD3866"/>
    <w:rsid w:val="6B051510"/>
    <w:rsid w:val="6C651613"/>
    <w:rsid w:val="6CA051BF"/>
    <w:rsid w:val="6CDF01F2"/>
    <w:rsid w:val="6D431701"/>
    <w:rsid w:val="6E4B3097"/>
    <w:rsid w:val="6EC73450"/>
    <w:rsid w:val="6EDD5AD9"/>
    <w:rsid w:val="6F1B158F"/>
    <w:rsid w:val="6F9E24E7"/>
    <w:rsid w:val="6FBD596D"/>
    <w:rsid w:val="70C42D2B"/>
    <w:rsid w:val="70D51FB7"/>
    <w:rsid w:val="71BC7CD8"/>
    <w:rsid w:val="72D5466C"/>
    <w:rsid w:val="73AE08A3"/>
    <w:rsid w:val="73B7031A"/>
    <w:rsid w:val="73CF04F1"/>
    <w:rsid w:val="74001488"/>
    <w:rsid w:val="75CB6B32"/>
    <w:rsid w:val="75F43255"/>
    <w:rsid w:val="761446D3"/>
    <w:rsid w:val="76BF5595"/>
    <w:rsid w:val="77166D2F"/>
    <w:rsid w:val="77FD7E9C"/>
    <w:rsid w:val="783A693D"/>
    <w:rsid w:val="797339C5"/>
    <w:rsid w:val="7A023CE4"/>
    <w:rsid w:val="7A5D3F32"/>
    <w:rsid w:val="7C0A1618"/>
    <w:rsid w:val="7C1C7C58"/>
    <w:rsid w:val="7C6E0158"/>
    <w:rsid w:val="7CC145C3"/>
    <w:rsid w:val="7DF26535"/>
    <w:rsid w:val="7E7E6C0F"/>
    <w:rsid w:val="7F406CA0"/>
    <w:rsid w:val="7FB74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semiHidden="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0" w:semiHidden="0" w:name="envelope return"/>
    <w:lsdException w:qFormat="1" w:unhideWhenUsed="0" w:uiPriority="0" w:semiHidden="0" w:name="footnote reference"/>
    <w:lsdException w:uiPriority="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99"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77"/>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8"/>
    <w:qFormat/>
    <w:uiPriority w:val="0"/>
    <w:pPr>
      <w:keepNext/>
      <w:keepLines/>
      <w:spacing w:before="260" w:after="260" w:line="416" w:lineRule="auto"/>
      <w:outlineLvl w:val="2"/>
    </w:pPr>
    <w:rPr>
      <w:b/>
      <w:bCs/>
      <w:sz w:val="32"/>
      <w:szCs w:val="32"/>
    </w:rPr>
  </w:style>
  <w:style w:type="paragraph" w:styleId="10">
    <w:name w:val="heading 4"/>
    <w:basedOn w:val="1"/>
    <w:next w:val="1"/>
    <w:link w:val="84"/>
    <w:qFormat/>
    <w:uiPriority w:val="0"/>
    <w:pPr>
      <w:keepNext/>
      <w:keepLines/>
      <w:spacing w:before="280" w:after="290" w:line="376" w:lineRule="auto"/>
      <w:outlineLvl w:val="3"/>
    </w:pPr>
    <w:rPr>
      <w:rFonts w:ascii="Arial" w:hAnsi="Arial" w:eastAsia="黑体"/>
      <w:b/>
      <w:bCs/>
      <w:sz w:val="28"/>
      <w:szCs w:val="28"/>
    </w:rPr>
  </w:style>
  <w:style w:type="paragraph" w:styleId="11">
    <w:name w:val="heading 5"/>
    <w:basedOn w:val="1"/>
    <w:next w:val="1"/>
    <w:qFormat/>
    <w:uiPriority w:val="0"/>
    <w:pPr>
      <w:keepNext/>
      <w:keepLines/>
      <w:spacing w:before="280" w:after="290" w:line="376" w:lineRule="auto"/>
      <w:outlineLvl w:val="4"/>
    </w:pPr>
    <w:rPr>
      <w:b/>
      <w:bCs/>
      <w:sz w:val="28"/>
      <w:szCs w:val="28"/>
    </w:rPr>
  </w:style>
  <w:style w:type="paragraph" w:styleId="12">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13">
    <w:name w:val="heading 7"/>
    <w:basedOn w:val="1"/>
    <w:next w:val="1"/>
    <w:link w:val="89"/>
    <w:unhideWhenUsed/>
    <w:qFormat/>
    <w:uiPriority w:val="0"/>
    <w:pPr>
      <w:keepNext/>
      <w:keepLines/>
      <w:spacing w:before="240" w:after="64" w:line="320" w:lineRule="auto"/>
      <w:outlineLvl w:val="6"/>
    </w:pPr>
    <w:rPr>
      <w:b/>
      <w:bCs/>
      <w:sz w:val="24"/>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spacing w:after="120" w:line="240" w:lineRule="auto"/>
      <w:ind w:left="480" w:leftChars="200" w:firstLine="210" w:firstLineChars="100"/>
      <w:jc w:val="left"/>
    </w:pPr>
    <w:rPr>
      <w:rFonts w:ascii="DFKai-SB" w:eastAsia="DFKai-SB"/>
      <w:sz w:val="28"/>
      <w:lang w:eastAsia="zh-TW"/>
    </w:rPr>
  </w:style>
  <w:style w:type="paragraph" w:styleId="3">
    <w:name w:val="Body Text Indent"/>
    <w:basedOn w:val="1"/>
    <w:next w:val="4"/>
    <w:link w:val="74"/>
    <w:qFormat/>
    <w:uiPriority w:val="0"/>
    <w:pPr>
      <w:spacing w:line="500" w:lineRule="exact"/>
      <w:ind w:left="1588" w:leftChars="832" w:firstLine="433" w:firstLineChars="196"/>
    </w:pPr>
    <w:rPr>
      <w:sz w:val="24"/>
    </w:rPr>
  </w:style>
  <w:style w:type="paragraph" w:styleId="4">
    <w:name w:val="envelope return"/>
    <w:basedOn w:val="1"/>
    <w:qFormat/>
    <w:uiPriority w:val="0"/>
    <w:pPr>
      <w:snapToGrid w:val="0"/>
      <w:spacing w:line="360" w:lineRule="auto"/>
    </w:pPr>
    <w:rPr>
      <w:rFonts w:ascii="Arial" w:hAnsi="Arial"/>
      <w:sz w:val="24"/>
    </w:rPr>
  </w:style>
  <w:style w:type="paragraph" w:customStyle="1" w:styleId="8">
    <w:name w:val="Í¼±íÕýÎÄ"/>
    <w:basedOn w:val="1"/>
    <w:next w:val="9"/>
    <w:qFormat/>
    <w:uiPriority w:val="0"/>
    <w:pPr>
      <w:ind w:firstLine="420" w:firstLineChars="200"/>
    </w:pPr>
    <w:rPr>
      <w:rFonts w:ascii="Times New Roman" w:hAnsi="Times New Roman" w:eastAsia="宋体" w:cs="Times New Roman"/>
      <w:sz w:val="24"/>
      <w:szCs w:val="20"/>
    </w:rPr>
  </w:style>
  <w:style w:type="paragraph" w:styleId="9">
    <w:name w:val="Normal Indent"/>
    <w:basedOn w:val="1"/>
    <w:qFormat/>
    <w:uiPriority w:val="0"/>
    <w:pPr>
      <w:ind w:firstLine="420" w:firstLineChars="200"/>
    </w:pPr>
  </w:style>
  <w:style w:type="paragraph" w:styleId="14">
    <w:name w:val="List 3"/>
    <w:basedOn w:val="1"/>
    <w:qFormat/>
    <w:uiPriority w:val="0"/>
    <w:pPr>
      <w:ind w:left="100" w:leftChars="400" w:hanging="200" w:hangingChars="200"/>
    </w:p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semiHidden/>
    <w:qFormat/>
    <w:uiPriority w:val="0"/>
    <w:pPr>
      <w:shd w:val="clear" w:color="auto" w:fill="000080"/>
    </w:pPr>
  </w:style>
  <w:style w:type="paragraph" w:styleId="17">
    <w:name w:val="Body Text 3"/>
    <w:basedOn w:val="1"/>
    <w:qFormat/>
    <w:uiPriority w:val="0"/>
    <w:rPr>
      <w:sz w:val="24"/>
    </w:rPr>
  </w:style>
  <w:style w:type="paragraph" w:styleId="18">
    <w:name w:val="Body Text"/>
    <w:basedOn w:val="1"/>
    <w:next w:val="1"/>
    <w:link w:val="70"/>
    <w:qFormat/>
    <w:uiPriority w:val="0"/>
    <w:pPr>
      <w:spacing w:after="120"/>
    </w:pPr>
  </w:style>
  <w:style w:type="paragraph" w:styleId="19">
    <w:name w:val="List 2"/>
    <w:basedOn w:val="1"/>
    <w:qFormat/>
    <w:uiPriority w:val="0"/>
    <w:pPr>
      <w:ind w:left="100" w:leftChars="200" w:hanging="200" w:hangingChars="200"/>
    </w:pPr>
  </w:style>
  <w:style w:type="paragraph" w:styleId="20">
    <w:name w:val="List Continue"/>
    <w:basedOn w:val="1"/>
    <w:qFormat/>
    <w:uiPriority w:val="0"/>
    <w:pPr>
      <w:spacing w:after="120"/>
      <w:ind w:left="420" w:leftChars="200"/>
    </w:pPr>
  </w:style>
  <w:style w:type="paragraph" w:styleId="21">
    <w:name w:val="toc 3"/>
    <w:basedOn w:val="1"/>
    <w:next w:val="1"/>
    <w:qFormat/>
    <w:uiPriority w:val="39"/>
    <w:pPr>
      <w:ind w:left="840" w:leftChars="400"/>
    </w:pPr>
  </w:style>
  <w:style w:type="paragraph" w:styleId="22">
    <w:name w:val="Plain Text"/>
    <w:basedOn w:val="1"/>
    <w:link w:val="76"/>
    <w:qFormat/>
    <w:uiPriority w:val="0"/>
    <w:rPr>
      <w:rFonts w:ascii="宋体" w:hAnsi="Courier New" w:cs="Courier New"/>
      <w:szCs w:val="21"/>
    </w:rPr>
  </w:style>
  <w:style w:type="paragraph" w:styleId="23">
    <w:name w:val="Date"/>
    <w:basedOn w:val="1"/>
    <w:next w:val="1"/>
    <w:link w:val="73"/>
    <w:qFormat/>
    <w:uiPriority w:val="0"/>
    <w:pPr>
      <w:ind w:left="100" w:leftChars="2500"/>
    </w:pPr>
  </w:style>
  <w:style w:type="paragraph" w:styleId="24">
    <w:name w:val="Body Text Indent 2"/>
    <w:basedOn w:val="1"/>
    <w:qFormat/>
    <w:uiPriority w:val="0"/>
    <w:pPr>
      <w:spacing w:line="500" w:lineRule="exact"/>
      <w:ind w:firstLine="442" w:firstLineChars="200"/>
    </w:pPr>
    <w:rPr>
      <w:sz w:val="24"/>
    </w:rPr>
  </w:style>
  <w:style w:type="paragraph" w:styleId="25">
    <w:name w:val="Balloon Text"/>
    <w:basedOn w:val="1"/>
    <w:semiHidden/>
    <w:qFormat/>
    <w:uiPriority w:val="0"/>
    <w:rPr>
      <w:sz w:val="18"/>
      <w:szCs w:val="18"/>
    </w:rPr>
  </w:style>
  <w:style w:type="paragraph" w:styleId="26">
    <w:name w:val="footer"/>
    <w:basedOn w:val="1"/>
    <w:link w:val="72"/>
    <w:qFormat/>
    <w:uiPriority w:val="99"/>
    <w:pPr>
      <w:tabs>
        <w:tab w:val="center" w:pos="4153"/>
        <w:tab w:val="right" w:pos="8306"/>
      </w:tabs>
      <w:snapToGrid w:val="0"/>
      <w:jc w:val="left"/>
    </w:pPr>
    <w:rPr>
      <w:sz w:val="18"/>
      <w:szCs w:val="18"/>
    </w:rPr>
  </w:style>
  <w:style w:type="paragraph" w:styleId="27">
    <w:name w:val="header"/>
    <w:basedOn w:val="1"/>
    <w:link w:val="85"/>
    <w:qFormat/>
    <w:uiPriority w:val="99"/>
    <w:pPr>
      <w:pBdr>
        <w:bottom w:val="single" w:color="auto" w:sz="6" w:space="1"/>
      </w:pBdr>
      <w:tabs>
        <w:tab w:val="center" w:pos="4153"/>
        <w:tab w:val="right" w:pos="8306"/>
      </w:tabs>
      <w:snapToGrid w:val="0"/>
      <w:jc w:val="center"/>
    </w:pPr>
    <w:rPr>
      <w:sz w:val="18"/>
      <w:szCs w:val="18"/>
    </w:rPr>
  </w:style>
  <w:style w:type="paragraph" w:styleId="28">
    <w:name w:val="Signature"/>
    <w:basedOn w:val="1"/>
    <w:qFormat/>
    <w:uiPriority w:val="0"/>
    <w:pPr>
      <w:ind w:left="100" w:leftChars="2100"/>
    </w:pPr>
  </w:style>
  <w:style w:type="paragraph" w:styleId="29">
    <w:name w:val="toc 1"/>
    <w:basedOn w:val="1"/>
    <w:next w:val="1"/>
    <w:qFormat/>
    <w:uiPriority w:val="39"/>
    <w:pPr>
      <w:tabs>
        <w:tab w:val="right" w:leader="dot" w:pos="9061"/>
      </w:tabs>
      <w:spacing w:line="360" w:lineRule="auto"/>
      <w:jc w:val="left"/>
    </w:pPr>
    <w:rPr>
      <w:rFonts w:eastAsia="黑体"/>
      <w:b/>
      <w:sz w:val="24"/>
    </w:rPr>
  </w:style>
  <w:style w:type="paragraph" w:styleId="30">
    <w:name w:val="List Continue 4"/>
    <w:basedOn w:val="1"/>
    <w:qFormat/>
    <w:uiPriority w:val="0"/>
    <w:pPr>
      <w:spacing w:after="120"/>
      <w:ind w:left="1680" w:leftChars="800"/>
    </w:pPr>
  </w:style>
  <w:style w:type="paragraph" w:styleId="31">
    <w:name w:val="List"/>
    <w:basedOn w:val="1"/>
    <w:qFormat/>
    <w:uiPriority w:val="99"/>
    <w:pPr>
      <w:ind w:left="200" w:hanging="200" w:hangingChars="200"/>
    </w:pPr>
  </w:style>
  <w:style w:type="paragraph" w:styleId="32">
    <w:name w:val="footnote text"/>
    <w:basedOn w:val="1"/>
    <w:qFormat/>
    <w:uiPriority w:val="0"/>
    <w:pPr>
      <w:snapToGrid w:val="0"/>
      <w:jc w:val="left"/>
    </w:pPr>
    <w:rPr>
      <w:sz w:val="18"/>
    </w:rPr>
  </w:style>
  <w:style w:type="paragraph" w:styleId="33">
    <w:name w:val="List 5"/>
    <w:basedOn w:val="1"/>
    <w:qFormat/>
    <w:uiPriority w:val="0"/>
    <w:pPr>
      <w:ind w:left="100" w:leftChars="800" w:hanging="200" w:hangingChars="200"/>
    </w:pPr>
  </w:style>
  <w:style w:type="paragraph" w:styleId="34">
    <w:name w:val="Body Text Indent 3"/>
    <w:basedOn w:val="1"/>
    <w:qFormat/>
    <w:uiPriority w:val="0"/>
    <w:pPr>
      <w:tabs>
        <w:tab w:val="left" w:pos="1134"/>
        <w:tab w:val="left" w:pos="5481"/>
        <w:tab w:val="left" w:pos="5859"/>
      </w:tabs>
      <w:spacing w:line="500" w:lineRule="exact"/>
      <w:ind w:firstLine="8275" w:firstLineChars="1200"/>
    </w:pPr>
    <w:rPr>
      <w:rFonts w:eastAsia="黑体"/>
      <w:b/>
      <w:bCs/>
      <w:sz w:val="72"/>
    </w:rPr>
  </w:style>
  <w:style w:type="paragraph" w:styleId="35">
    <w:name w:val="toc 2"/>
    <w:basedOn w:val="1"/>
    <w:next w:val="1"/>
    <w:qFormat/>
    <w:uiPriority w:val="39"/>
    <w:pPr>
      <w:tabs>
        <w:tab w:val="right" w:leader="dot" w:pos="8297"/>
      </w:tabs>
      <w:spacing w:line="360" w:lineRule="auto"/>
      <w:ind w:firstLine="480" w:firstLineChars="200"/>
      <w:jc w:val="left"/>
    </w:pPr>
  </w:style>
  <w:style w:type="paragraph" w:styleId="36">
    <w:name w:val="Body Text 2"/>
    <w:basedOn w:val="1"/>
    <w:link w:val="83"/>
    <w:qFormat/>
    <w:uiPriority w:val="0"/>
    <w:rPr>
      <w:sz w:val="28"/>
    </w:rPr>
  </w:style>
  <w:style w:type="paragraph" w:styleId="37">
    <w:name w:val="List 4"/>
    <w:basedOn w:val="1"/>
    <w:qFormat/>
    <w:uiPriority w:val="0"/>
    <w:pPr>
      <w:ind w:left="100" w:leftChars="600" w:hanging="200" w:hangingChars="200"/>
    </w:pPr>
  </w:style>
  <w:style w:type="paragraph" w:styleId="38">
    <w:name w:val="List Continue 2"/>
    <w:basedOn w:val="1"/>
    <w:qFormat/>
    <w:uiPriority w:val="0"/>
    <w:pPr>
      <w:spacing w:after="120"/>
      <w:ind w:left="840" w:leftChars="400"/>
    </w:pPr>
  </w:style>
  <w:style w:type="paragraph" w:styleId="39">
    <w:name w:val="HTML Preformatted"/>
    <w:basedOn w:val="1"/>
    <w:link w:val="7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 w:type="paragraph" w:styleId="4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1">
    <w:name w:val="List Continue 3"/>
    <w:basedOn w:val="1"/>
    <w:qFormat/>
    <w:uiPriority w:val="0"/>
    <w:pPr>
      <w:spacing w:after="120"/>
      <w:ind w:left="1260" w:leftChars="600"/>
    </w:pPr>
  </w:style>
  <w:style w:type="paragraph" w:styleId="42">
    <w:name w:val="Body Text First Indent"/>
    <w:basedOn w:val="18"/>
    <w:qFormat/>
    <w:uiPriority w:val="0"/>
    <w:pPr>
      <w:ind w:firstLine="420" w:firstLineChars="100"/>
    </w:pPr>
  </w:style>
  <w:style w:type="table" w:styleId="44">
    <w:name w:val="Table Grid"/>
    <w:basedOn w:val="4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bCs/>
    </w:rPr>
  </w:style>
  <w:style w:type="character" w:styleId="47">
    <w:name w:val="page number"/>
    <w:basedOn w:val="45"/>
    <w:qFormat/>
    <w:uiPriority w:val="0"/>
  </w:style>
  <w:style w:type="character" w:styleId="48">
    <w:name w:val="FollowedHyperlink"/>
    <w:qFormat/>
    <w:uiPriority w:val="0"/>
    <w:rPr>
      <w:color w:val="800080"/>
      <w:u w:val="single"/>
    </w:rPr>
  </w:style>
  <w:style w:type="character" w:styleId="49">
    <w:name w:val="line number"/>
    <w:basedOn w:val="45"/>
    <w:qFormat/>
    <w:uiPriority w:val="0"/>
  </w:style>
  <w:style w:type="character" w:styleId="50">
    <w:name w:val="Hyperlink"/>
    <w:qFormat/>
    <w:uiPriority w:val="99"/>
    <w:rPr>
      <w:color w:val="0000FF"/>
      <w:u w:val="single"/>
    </w:rPr>
  </w:style>
  <w:style w:type="character" w:styleId="51">
    <w:name w:val="footnote reference"/>
    <w:basedOn w:val="45"/>
    <w:qFormat/>
    <w:uiPriority w:val="0"/>
    <w:rPr>
      <w:vertAlign w:val="superscript"/>
    </w:rPr>
  </w:style>
  <w:style w:type="paragraph" w:customStyle="1" w:styleId="52">
    <w:name w:val="列表段落1"/>
    <w:basedOn w:val="1"/>
    <w:qFormat/>
    <w:uiPriority w:val="34"/>
    <w:pPr>
      <w:ind w:firstLine="420" w:firstLineChars="200"/>
    </w:pPr>
    <w:rPr>
      <w:rFonts w:ascii="Calibri" w:hAnsi="Calibri"/>
      <w:szCs w:val="22"/>
    </w:rPr>
  </w:style>
  <w:style w:type="paragraph" w:customStyle="1" w:styleId="53">
    <w:name w:val="标题A"/>
    <w:basedOn w:val="1"/>
    <w:qFormat/>
    <w:uiPriority w:val="0"/>
    <w:pPr>
      <w:autoSpaceDE w:val="0"/>
      <w:autoSpaceDN w:val="0"/>
      <w:adjustRightInd w:val="0"/>
      <w:ind w:left="720" w:right="-866"/>
      <w:jc w:val="left"/>
      <w:textAlignment w:val="baseline"/>
    </w:pPr>
    <w:rPr>
      <w:rFonts w:hAnsi="Arial" w:eastAsia="黑体"/>
      <w:i/>
      <w:kern w:val="0"/>
      <w:sz w:val="28"/>
      <w:szCs w:val="20"/>
    </w:rPr>
  </w:style>
  <w:style w:type="paragraph" w:customStyle="1" w:styleId="54">
    <w:name w:val="Default"/>
    <w:qFormat/>
    <w:uiPriority w:val="0"/>
    <w:pPr>
      <w:widowControl w:val="0"/>
      <w:autoSpaceDE w:val="0"/>
      <w:autoSpaceDN w:val="0"/>
      <w:adjustRightInd w:val="0"/>
    </w:pPr>
    <w:rPr>
      <w:rFonts w:ascii="幼圆" w:hAnsi="Times New Roman" w:eastAsia="幼圆" w:cs="幼圆"/>
      <w:color w:val="000000"/>
      <w:sz w:val="24"/>
      <w:szCs w:val="24"/>
      <w:lang w:val="en-US" w:eastAsia="zh-CN" w:bidi="ar-SA"/>
    </w:rPr>
  </w:style>
  <w:style w:type="paragraph" w:customStyle="1" w:styleId="55">
    <w:name w:val="List Paragraph1"/>
    <w:basedOn w:val="1"/>
    <w:qFormat/>
    <w:uiPriority w:val="99"/>
    <w:pPr>
      <w:ind w:firstLine="420" w:firstLineChars="200"/>
    </w:pPr>
    <w:rPr>
      <w:szCs w:val="20"/>
    </w:rPr>
  </w:style>
  <w:style w:type="paragraph" w:customStyle="1" w:styleId="56">
    <w:name w:val="Char Char"/>
    <w:basedOn w:val="1"/>
    <w:qFormat/>
    <w:uiPriority w:val="0"/>
    <w:pPr>
      <w:widowControl/>
      <w:spacing w:after="160" w:line="240" w:lineRule="exact"/>
      <w:jc w:val="left"/>
    </w:pPr>
    <w:rPr>
      <w:sz w:val="24"/>
    </w:rPr>
  </w:style>
  <w:style w:type="paragraph" w:customStyle="1" w:styleId="57">
    <w:name w:val="p15"/>
    <w:basedOn w:val="1"/>
    <w:qFormat/>
    <w:uiPriority w:val="0"/>
    <w:pPr>
      <w:widowControl/>
    </w:pPr>
    <w:rPr>
      <w:rFonts w:ascii="宋体" w:hAnsi="宋体" w:cs="宋体"/>
      <w:kern w:val="0"/>
      <w:szCs w:val="21"/>
    </w:rPr>
  </w:style>
  <w:style w:type="paragraph" w:customStyle="1" w:styleId="58">
    <w:name w:val="简单回函地址"/>
    <w:basedOn w:val="1"/>
    <w:qFormat/>
    <w:uiPriority w:val="0"/>
  </w:style>
  <w:style w:type="paragraph" w:customStyle="1" w:styleId="59">
    <w:name w:val="列出段落1"/>
    <w:basedOn w:val="1"/>
    <w:qFormat/>
    <w:uiPriority w:val="0"/>
    <w:pPr>
      <w:ind w:firstLine="420" w:firstLineChars="200"/>
    </w:pPr>
    <w:rPr>
      <w:rFonts w:ascii="Calibri" w:hAnsi="Calibri"/>
      <w:szCs w:val="22"/>
    </w:rPr>
  </w:style>
  <w:style w:type="paragraph" w:customStyle="1" w:styleId="60">
    <w:name w:val="Char Char Char Char"/>
    <w:basedOn w:val="16"/>
    <w:qFormat/>
    <w:uiPriority w:val="0"/>
    <w:rPr>
      <w:rFonts w:ascii="Tahoma" w:hAnsi="Tahoma"/>
      <w:sz w:val="24"/>
    </w:rPr>
  </w:style>
  <w:style w:type="paragraph" w:customStyle="1" w:styleId="61">
    <w:name w:val="列出段落1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62">
    <w:name w:val="默认段落字体 Para Char Char Char Char Char Char Char Char Char Char Char Char Char"/>
    <w:basedOn w:val="16"/>
    <w:qFormat/>
    <w:uiPriority w:val="0"/>
    <w:rPr>
      <w:rFonts w:ascii="Tahoma" w:hAnsi="Tahoma"/>
      <w:sz w:val="24"/>
    </w:rPr>
  </w:style>
  <w:style w:type="paragraph" w:customStyle="1" w:styleId="63">
    <w:name w:val="Char 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64">
    <w:name w:val="p0"/>
    <w:basedOn w:val="1"/>
    <w:qFormat/>
    <w:uiPriority w:val="0"/>
    <w:pPr>
      <w:widowControl/>
    </w:pPr>
    <w:rPr>
      <w:kern w:val="0"/>
      <w:sz w:val="24"/>
    </w:rPr>
  </w:style>
  <w:style w:type="paragraph" w:customStyle="1" w:styleId="65">
    <w:name w:val="PP 行"/>
    <w:basedOn w:val="28"/>
    <w:qFormat/>
    <w:uiPriority w:val="0"/>
  </w:style>
  <w:style w:type="paragraph" w:customStyle="1" w:styleId="66">
    <w:name w:val="Char Char1"/>
    <w:basedOn w:val="1"/>
    <w:qFormat/>
    <w:uiPriority w:val="0"/>
  </w:style>
  <w:style w:type="paragraph" w:customStyle="1" w:styleId="67">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68">
    <w:name w:val="Char"/>
    <w:basedOn w:val="16"/>
    <w:qFormat/>
    <w:uiPriority w:val="0"/>
    <w:rPr>
      <w:rFonts w:ascii="Tahoma" w:hAnsi="Tahoma"/>
      <w:sz w:val="24"/>
    </w:rPr>
  </w:style>
  <w:style w:type="character" w:customStyle="1" w:styleId="69">
    <w:name w:val="样式11"/>
    <w:qFormat/>
    <w:uiPriority w:val="0"/>
    <w:rPr>
      <w:color w:val="CC0000"/>
    </w:rPr>
  </w:style>
  <w:style w:type="character" w:customStyle="1" w:styleId="70">
    <w:name w:val="正文文本 Char"/>
    <w:link w:val="18"/>
    <w:qFormat/>
    <w:uiPriority w:val="0"/>
    <w:rPr>
      <w:kern w:val="2"/>
      <w:sz w:val="21"/>
      <w:szCs w:val="24"/>
    </w:rPr>
  </w:style>
  <w:style w:type="character" w:customStyle="1" w:styleId="71">
    <w:name w:val="样式 ˎ̥ 小四 下划线"/>
    <w:qFormat/>
    <w:uiPriority w:val="0"/>
    <w:rPr>
      <w:rFonts w:ascii="ˎ̥" w:hAnsi="ˎ̥"/>
      <w:kern w:val="0"/>
      <w:sz w:val="24"/>
      <w:u w:val="single"/>
    </w:rPr>
  </w:style>
  <w:style w:type="character" w:customStyle="1" w:styleId="72">
    <w:name w:val="页脚 Char"/>
    <w:link w:val="26"/>
    <w:qFormat/>
    <w:uiPriority w:val="99"/>
    <w:rPr>
      <w:kern w:val="2"/>
      <w:sz w:val="18"/>
      <w:szCs w:val="18"/>
    </w:rPr>
  </w:style>
  <w:style w:type="character" w:customStyle="1" w:styleId="73">
    <w:name w:val="日期 Char"/>
    <w:link w:val="23"/>
    <w:semiHidden/>
    <w:qFormat/>
    <w:uiPriority w:val="0"/>
    <w:rPr>
      <w:rFonts w:eastAsia="宋体"/>
      <w:kern w:val="2"/>
      <w:sz w:val="21"/>
      <w:szCs w:val="24"/>
      <w:lang w:val="en-US" w:eastAsia="zh-CN" w:bidi="ar-SA"/>
    </w:rPr>
  </w:style>
  <w:style w:type="character" w:customStyle="1" w:styleId="74">
    <w:name w:val="正文文本缩进 Char"/>
    <w:link w:val="3"/>
    <w:qFormat/>
    <w:uiPriority w:val="0"/>
    <w:rPr>
      <w:kern w:val="2"/>
      <w:sz w:val="24"/>
      <w:szCs w:val="24"/>
    </w:rPr>
  </w:style>
  <w:style w:type="character" w:customStyle="1" w:styleId="75">
    <w:name w:val="font01"/>
    <w:basedOn w:val="45"/>
    <w:qFormat/>
    <w:uiPriority w:val="0"/>
    <w:rPr>
      <w:rFonts w:hint="eastAsia" w:ascii="宋体" w:hAnsi="宋体" w:eastAsia="宋体" w:cs="宋体"/>
      <w:color w:val="000000"/>
      <w:sz w:val="18"/>
      <w:szCs w:val="18"/>
      <w:u w:val="none"/>
    </w:rPr>
  </w:style>
  <w:style w:type="character" w:customStyle="1" w:styleId="76">
    <w:name w:val="纯文本 Char"/>
    <w:link w:val="22"/>
    <w:qFormat/>
    <w:uiPriority w:val="0"/>
    <w:rPr>
      <w:rFonts w:ascii="宋体" w:hAnsi="Courier New" w:eastAsia="宋体" w:cs="Courier New"/>
      <w:kern w:val="2"/>
      <w:sz w:val="21"/>
      <w:szCs w:val="21"/>
      <w:lang w:val="en-US" w:eastAsia="zh-CN" w:bidi="ar-SA"/>
    </w:rPr>
  </w:style>
  <w:style w:type="character" w:customStyle="1" w:styleId="77">
    <w:name w:val="标题 1 Char1"/>
    <w:link w:val="5"/>
    <w:qFormat/>
    <w:uiPriority w:val="0"/>
    <w:rPr>
      <w:b/>
      <w:bCs/>
      <w:kern w:val="44"/>
      <w:sz w:val="44"/>
      <w:szCs w:val="44"/>
    </w:rPr>
  </w:style>
  <w:style w:type="character" w:customStyle="1" w:styleId="78">
    <w:name w:val="样式21"/>
    <w:qFormat/>
    <w:uiPriority w:val="0"/>
    <w:rPr>
      <w:color w:val="000000"/>
    </w:rPr>
  </w:style>
  <w:style w:type="character" w:customStyle="1" w:styleId="79">
    <w:name w:val="HTML 预设格式 Char"/>
    <w:link w:val="39"/>
    <w:qFormat/>
    <w:uiPriority w:val="0"/>
    <w:rPr>
      <w:rFonts w:ascii="Arial Unicode MS" w:hAnsi="Arial Unicode MS" w:eastAsia="Arial Unicode MS" w:cs="Arial Unicode MS"/>
    </w:rPr>
  </w:style>
  <w:style w:type="character" w:customStyle="1" w:styleId="80">
    <w:name w:val="style31"/>
    <w:qFormat/>
    <w:uiPriority w:val="0"/>
    <w:rPr>
      <w:color w:val="000000"/>
    </w:rPr>
  </w:style>
  <w:style w:type="character" w:customStyle="1" w:styleId="81">
    <w:name w:val="style121"/>
    <w:qFormat/>
    <w:uiPriority w:val="0"/>
    <w:rPr>
      <w:color w:val="333333"/>
    </w:rPr>
  </w:style>
  <w:style w:type="character" w:customStyle="1" w:styleId="82">
    <w:name w:val="医疗商务网www.ylsw.netdocy0p2hskvodxcpv6"/>
    <w:basedOn w:val="45"/>
    <w:qFormat/>
    <w:uiPriority w:val="0"/>
  </w:style>
  <w:style w:type="character" w:customStyle="1" w:styleId="83">
    <w:name w:val="正文文本 2 Char"/>
    <w:link w:val="36"/>
    <w:qFormat/>
    <w:uiPriority w:val="0"/>
    <w:rPr>
      <w:kern w:val="2"/>
      <w:sz w:val="28"/>
      <w:szCs w:val="24"/>
    </w:rPr>
  </w:style>
  <w:style w:type="character" w:customStyle="1" w:styleId="84">
    <w:name w:val="标题 4 Char"/>
    <w:link w:val="10"/>
    <w:qFormat/>
    <w:uiPriority w:val="0"/>
    <w:rPr>
      <w:rFonts w:ascii="Arial" w:hAnsi="Arial" w:eastAsia="黑体"/>
      <w:b/>
      <w:bCs/>
      <w:kern w:val="2"/>
      <w:sz w:val="28"/>
      <w:szCs w:val="28"/>
    </w:rPr>
  </w:style>
  <w:style w:type="character" w:customStyle="1" w:styleId="85">
    <w:name w:val="页眉 Char"/>
    <w:link w:val="27"/>
    <w:qFormat/>
    <w:uiPriority w:val="99"/>
    <w:rPr>
      <w:kern w:val="2"/>
      <w:sz w:val="18"/>
      <w:szCs w:val="18"/>
    </w:rPr>
  </w:style>
  <w:style w:type="character" w:customStyle="1" w:styleId="86">
    <w:name w:val="font11"/>
    <w:basedOn w:val="45"/>
    <w:qFormat/>
    <w:uiPriority w:val="0"/>
    <w:rPr>
      <w:rFonts w:hint="default" w:ascii="Arial" w:hAnsi="Arial" w:cs="Arial"/>
      <w:color w:val="000000"/>
      <w:sz w:val="18"/>
      <w:szCs w:val="18"/>
      <w:u w:val="none"/>
    </w:rPr>
  </w:style>
  <w:style w:type="character" w:customStyle="1" w:styleId="87">
    <w:name w:val="font31"/>
    <w:basedOn w:val="45"/>
    <w:qFormat/>
    <w:uiPriority w:val="0"/>
    <w:rPr>
      <w:rFonts w:hint="eastAsia" w:ascii="宋体" w:hAnsi="宋体" w:eastAsia="宋体" w:cs="宋体"/>
      <w:color w:val="000000"/>
      <w:sz w:val="18"/>
      <w:szCs w:val="18"/>
      <w:u w:val="none"/>
    </w:rPr>
  </w:style>
  <w:style w:type="character" w:customStyle="1" w:styleId="88">
    <w:name w:val="正文文本 Char1"/>
    <w:qFormat/>
    <w:uiPriority w:val="0"/>
    <w:rPr>
      <w:kern w:val="2"/>
      <w:sz w:val="21"/>
      <w:szCs w:val="24"/>
    </w:rPr>
  </w:style>
  <w:style w:type="character" w:customStyle="1" w:styleId="89">
    <w:name w:val="标题 7 Char1"/>
    <w:basedOn w:val="45"/>
    <w:link w:val="13"/>
    <w:semiHidden/>
    <w:qFormat/>
    <w:uiPriority w:val="0"/>
    <w:rPr>
      <w:b/>
      <w:bCs/>
      <w:kern w:val="2"/>
      <w:sz w:val="24"/>
      <w:szCs w:val="24"/>
    </w:rPr>
  </w:style>
  <w:style w:type="character" w:customStyle="1" w:styleId="90">
    <w:name w:val="标题 7 Char"/>
    <w:basedOn w:val="45"/>
    <w:qFormat/>
    <w:uiPriority w:val="9"/>
    <w:rPr>
      <w:rFonts w:ascii="Cambria" w:hAnsi="Cambria" w:eastAsia="宋体" w:cs="Times New Roman"/>
      <w:i/>
      <w:iCs/>
      <w:color w:val="404040"/>
    </w:rPr>
  </w:style>
  <w:style w:type="paragraph" w:customStyle="1" w:styleId="91">
    <w:name w:val="列表段落11"/>
    <w:basedOn w:val="1"/>
    <w:link w:val="92"/>
    <w:qFormat/>
    <w:uiPriority w:val="34"/>
    <w:pPr>
      <w:ind w:firstLine="420" w:firstLineChars="200"/>
    </w:pPr>
    <w:rPr>
      <w:rFonts w:asciiTheme="minorHAnsi" w:hAnsiTheme="minorHAnsi" w:eastAsiaTheme="minorEastAsia" w:cstheme="minorBidi"/>
      <w:szCs w:val="22"/>
    </w:rPr>
  </w:style>
  <w:style w:type="character" w:customStyle="1" w:styleId="92">
    <w:name w:val="列出段落 Char"/>
    <w:basedOn w:val="45"/>
    <w:link w:val="91"/>
    <w:qFormat/>
    <w:uiPriority w:val="34"/>
    <w:rPr>
      <w:rFonts w:asciiTheme="minorHAnsi" w:hAnsiTheme="minorHAnsi" w:eastAsiaTheme="minorEastAsia" w:cstheme="minorBidi"/>
      <w:kern w:val="2"/>
      <w:sz w:val="21"/>
      <w:szCs w:val="22"/>
    </w:rPr>
  </w:style>
  <w:style w:type="paragraph" w:customStyle="1" w:styleId="93">
    <w:name w:val="GP标题1"/>
    <w:basedOn w:val="1"/>
    <w:next w:val="1"/>
    <w:qFormat/>
    <w:uiPriority w:val="0"/>
    <w:pPr>
      <w:numPr>
        <w:ilvl w:val="0"/>
        <w:numId w:val="1"/>
      </w:numPr>
      <w:spacing w:beforeLines="100" w:after="240" w:afterLines="100" w:line="360" w:lineRule="auto"/>
      <w:jc w:val="center"/>
      <w:outlineLvl w:val="0"/>
    </w:pPr>
    <w:rPr>
      <w:rFonts w:ascii="黑体" w:hAnsi="黑体" w:eastAsia="黑体"/>
      <w:b/>
      <w:sz w:val="36"/>
      <w:szCs w:val="21"/>
    </w:rPr>
  </w:style>
  <w:style w:type="paragraph" w:customStyle="1" w:styleId="94">
    <w:name w:val="GP标题2"/>
    <w:basedOn w:val="1"/>
    <w:next w:val="1"/>
    <w:qFormat/>
    <w:uiPriority w:val="0"/>
    <w:pPr>
      <w:numPr>
        <w:ilvl w:val="1"/>
        <w:numId w:val="1"/>
      </w:numPr>
      <w:spacing w:beforeLines="50" w:after="240" w:afterLines="50" w:line="360" w:lineRule="auto"/>
      <w:jc w:val="left"/>
      <w:outlineLvl w:val="1"/>
    </w:pPr>
    <w:rPr>
      <w:rFonts w:ascii="华文细黑" w:hAnsi="华文细黑" w:eastAsia="华文细黑"/>
      <w:b/>
      <w:sz w:val="32"/>
      <w:szCs w:val="21"/>
    </w:rPr>
  </w:style>
  <w:style w:type="paragraph" w:customStyle="1" w:styleId="95">
    <w:name w:val="GP标题3"/>
    <w:basedOn w:val="1"/>
    <w:next w:val="1"/>
    <w:qFormat/>
    <w:uiPriority w:val="0"/>
    <w:pPr>
      <w:numPr>
        <w:ilvl w:val="2"/>
        <w:numId w:val="1"/>
      </w:numPr>
      <w:spacing w:beforeLines="50" w:after="240" w:afterLines="50" w:line="360" w:lineRule="auto"/>
      <w:jc w:val="left"/>
      <w:outlineLvl w:val="2"/>
    </w:pPr>
    <w:rPr>
      <w:rFonts w:ascii="华文细黑" w:hAnsi="华文细黑" w:eastAsia="华文细黑"/>
      <w:b/>
      <w:sz w:val="30"/>
      <w:szCs w:val="21"/>
    </w:rPr>
  </w:style>
  <w:style w:type="paragraph" w:customStyle="1" w:styleId="96">
    <w:name w:val="GP标题4"/>
    <w:basedOn w:val="1"/>
    <w:next w:val="1"/>
    <w:qFormat/>
    <w:uiPriority w:val="0"/>
    <w:pPr>
      <w:numPr>
        <w:ilvl w:val="3"/>
        <w:numId w:val="1"/>
      </w:numPr>
      <w:spacing w:beforeLines="50" w:after="240" w:afterLines="50" w:line="360" w:lineRule="auto"/>
      <w:ind w:left="-2410"/>
      <w:jc w:val="left"/>
      <w:outlineLvl w:val="3"/>
    </w:pPr>
    <w:rPr>
      <w:rFonts w:ascii="华文细黑" w:hAnsi="华文细黑" w:eastAsia="华文细黑"/>
      <w:b/>
      <w:sz w:val="28"/>
      <w:szCs w:val="21"/>
    </w:rPr>
  </w:style>
  <w:style w:type="paragraph" w:customStyle="1" w:styleId="97">
    <w:name w:val="GP标题5"/>
    <w:basedOn w:val="1"/>
    <w:next w:val="1"/>
    <w:qFormat/>
    <w:uiPriority w:val="0"/>
    <w:pPr>
      <w:numPr>
        <w:ilvl w:val="4"/>
        <w:numId w:val="1"/>
      </w:numPr>
      <w:spacing w:beforeLines="50" w:after="240" w:afterLines="50" w:line="360" w:lineRule="auto"/>
      <w:jc w:val="left"/>
      <w:outlineLvl w:val="4"/>
    </w:pPr>
    <w:rPr>
      <w:rFonts w:ascii="华文细黑" w:hAnsi="华文细黑" w:eastAsia="华文细黑"/>
      <w:b/>
      <w:sz w:val="24"/>
      <w:szCs w:val="21"/>
    </w:rPr>
  </w:style>
  <w:style w:type="character" w:customStyle="1" w:styleId="98">
    <w:name w:val="标题 1 Char"/>
    <w:qFormat/>
    <w:uiPriority w:val="9"/>
    <w:rPr>
      <w:b/>
      <w:bCs/>
      <w:kern w:val="44"/>
      <w:sz w:val="44"/>
      <w:szCs w:val="44"/>
    </w:rPr>
  </w:style>
  <w:style w:type="character" w:customStyle="1" w:styleId="99">
    <w:name w:val="font21"/>
    <w:basedOn w:val="45"/>
    <w:qFormat/>
    <w:uiPriority w:val="0"/>
    <w:rPr>
      <w:rFonts w:hint="eastAsia" w:ascii="宋体" w:hAnsi="宋体" w:eastAsia="宋体" w:cs="宋体"/>
      <w:color w:val="FF0000"/>
      <w:sz w:val="24"/>
      <w:szCs w:val="24"/>
      <w:u w:val="none"/>
    </w:rPr>
  </w:style>
  <w:style w:type="paragraph" w:styleId="100">
    <w:name w:val="No Spacing"/>
    <w:qFormat/>
    <w:uiPriority w:val="1"/>
    <w:pPr>
      <w:widowControl w:val="0"/>
      <w:ind w:firstLine="200" w:firstLineChars="200"/>
    </w:pPr>
    <w:rPr>
      <w:rFonts w:ascii="Calibri" w:hAnsi="Calibri" w:eastAsia="仿宋" w:cs="Times New Roman"/>
      <w:kern w:val="2"/>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F633C-8795-4A7B-8056-86C628B46D8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51</Pages>
  <Words>18857</Words>
  <Characters>19976</Characters>
  <Lines>189</Lines>
  <Paragraphs>53</Paragraphs>
  <TotalTime>90</TotalTime>
  <ScaleCrop>false</ScaleCrop>
  <LinksUpToDate>false</LinksUpToDate>
  <CharactersWithSpaces>21338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2018-10-11T02:43:00Z</dcterms:created>
  <dc:creator>USER</dc:creator>
  <cp:lastModifiedBy>子非鱼</cp:lastModifiedBy>
  <cp:lastPrinted>2020-05-25T02:02:00Z</cp:lastPrinted>
  <dcterms:modified xsi:type="dcterms:W3CDTF">2023-11-13T01:58:23Z</dcterms:modified>
  <dc:title>招标文件目录</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AA70A6A4F78C46F09F0C2D921C775A90</vt:lpwstr>
  </property>
</Properties>
</file>